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4A1E" w14:textId="77777777" w:rsidR="00DE34F4" w:rsidRDefault="00DE34F4" w:rsidP="00DE34F4">
      <w:pPr>
        <w:pStyle w:val="NoSpacing"/>
        <w:jc w:val="center"/>
        <w:rPr>
          <w:rFonts w:ascii="Arial" w:hAnsi="Arial" w:cs="Arial"/>
          <w:b/>
          <w:bCs/>
          <w:noProof/>
          <w:sz w:val="56"/>
          <w:szCs w:val="56"/>
        </w:rPr>
      </w:pPr>
    </w:p>
    <w:p w14:paraId="4768AA82" w14:textId="14275303" w:rsidR="00DE34F4" w:rsidRPr="00AA02C3" w:rsidRDefault="00DE34F4" w:rsidP="00DE34F4">
      <w:pPr>
        <w:pStyle w:val="NoSpacing"/>
        <w:jc w:val="center"/>
        <w:rPr>
          <w:rFonts w:ascii="Arial" w:hAnsi="Arial" w:cs="Arial"/>
          <w:b/>
          <w:bCs/>
          <w:noProof/>
          <w:sz w:val="56"/>
          <w:szCs w:val="56"/>
        </w:rPr>
      </w:pPr>
      <w:r w:rsidRPr="00AA02C3">
        <w:rPr>
          <w:rFonts w:ascii="Arial" w:hAnsi="Arial" w:cs="Arial"/>
          <w:b/>
          <w:bCs/>
          <w:noProof/>
          <w:sz w:val="56"/>
          <w:szCs w:val="56"/>
        </w:rPr>
        <w:t>MORAY COUNCIL</w:t>
      </w:r>
    </w:p>
    <w:p w14:paraId="15620D67" w14:textId="77777777" w:rsidR="00DE34F4" w:rsidRPr="00AA02C3" w:rsidRDefault="00DE34F4" w:rsidP="00DE34F4">
      <w:pPr>
        <w:pStyle w:val="NoSpacing"/>
        <w:jc w:val="center"/>
        <w:rPr>
          <w:rFonts w:ascii="Arial" w:hAnsi="Arial"/>
          <w:sz w:val="56"/>
          <w:szCs w:val="56"/>
        </w:rPr>
      </w:pPr>
    </w:p>
    <w:p w14:paraId="6DA8E987" w14:textId="77777777" w:rsidR="00DE34F4" w:rsidRPr="00AA02C3" w:rsidRDefault="00DE34F4" w:rsidP="00DE34F4">
      <w:pPr>
        <w:pStyle w:val="NoSpacing"/>
        <w:jc w:val="center"/>
        <w:rPr>
          <w:sz w:val="56"/>
          <w:szCs w:val="56"/>
        </w:rPr>
      </w:pPr>
      <w:r>
        <w:rPr>
          <w:rFonts w:ascii="Arial" w:hAnsi="Arial" w:cs="Arial"/>
          <w:noProof/>
          <w:sz w:val="56"/>
          <w:szCs w:val="56"/>
        </w:rPr>
        <w:t>SUNDRY DEBT POLICY</w:t>
      </w:r>
    </w:p>
    <w:p w14:paraId="0413DA54" w14:textId="77777777" w:rsidR="00DE34F4" w:rsidRDefault="00DE34F4" w:rsidP="008D6A18">
      <w:pPr>
        <w:pStyle w:val="ABCChapterHeading"/>
      </w:pPr>
      <w:r w:rsidRPr="00C97E48">
        <w:drawing>
          <wp:inline distT="0" distB="0" distL="0" distR="0" wp14:anchorId="6E5EDC9C" wp14:editId="48424169">
            <wp:extent cx="3124200" cy="3269673"/>
            <wp:effectExtent l="0" t="0" r="0" b="0"/>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erchange.moray.gov.uk/int_images/image_10887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3269673"/>
                    </a:xfrm>
                    <a:prstGeom prst="rect">
                      <a:avLst/>
                    </a:prstGeom>
                    <a:noFill/>
                    <a:ln>
                      <a:noFill/>
                    </a:ln>
                  </pic:spPr>
                </pic:pic>
              </a:graphicData>
            </a:graphic>
          </wp:inline>
        </w:drawing>
      </w:r>
    </w:p>
    <w:p w14:paraId="28D10C33" w14:textId="77777777" w:rsidR="007A4D82" w:rsidRDefault="007A4D82" w:rsidP="00DE34F4"/>
    <w:p w14:paraId="7735EB03" w14:textId="77777777" w:rsidR="00266AD6" w:rsidRDefault="00266AD6" w:rsidP="00DE34F4"/>
    <w:p w14:paraId="2B90B108" w14:textId="77777777" w:rsidR="00266AD6" w:rsidRDefault="00266AD6" w:rsidP="00DE34F4"/>
    <w:p w14:paraId="18150B70" w14:textId="77777777" w:rsidR="00266AD6" w:rsidRDefault="00266AD6" w:rsidP="00DE34F4"/>
    <w:tbl>
      <w:tblPr>
        <w:tblStyle w:val="TableGrid"/>
        <w:tblW w:w="0" w:type="auto"/>
        <w:tblLook w:val="04A0" w:firstRow="1" w:lastRow="0" w:firstColumn="1" w:lastColumn="0" w:noHBand="0" w:noVBand="1"/>
      </w:tblPr>
      <w:tblGrid>
        <w:gridCol w:w="3088"/>
        <w:gridCol w:w="4488"/>
      </w:tblGrid>
      <w:tr w:rsidR="007A4D82" w:rsidRPr="00AD4D95" w14:paraId="1492443D" w14:textId="77777777" w:rsidTr="00EB20D2">
        <w:tc>
          <w:tcPr>
            <w:tcW w:w="3539" w:type="dxa"/>
            <w:shd w:val="clear" w:color="auto" w:fill="D9D9D9" w:themeFill="background1" w:themeFillShade="D9"/>
          </w:tcPr>
          <w:p w14:paraId="1ECE245A" w14:textId="77777777" w:rsidR="007A4D82" w:rsidRPr="00AD4D95" w:rsidRDefault="007A4D82" w:rsidP="00EB20D2">
            <w:pPr>
              <w:rPr>
                <w:rFonts w:ascii="Aptos" w:hAnsi="Aptos"/>
                <w:b/>
                <w:bCs/>
              </w:rPr>
            </w:pPr>
            <w:r w:rsidRPr="00AD4D95">
              <w:rPr>
                <w:rFonts w:ascii="Aptos" w:hAnsi="Aptos"/>
                <w:b/>
                <w:bCs/>
              </w:rPr>
              <w:t>Date of Creation:</w:t>
            </w:r>
          </w:p>
        </w:tc>
        <w:tc>
          <w:tcPr>
            <w:tcW w:w="5477" w:type="dxa"/>
          </w:tcPr>
          <w:p w14:paraId="65554DB0" w14:textId="503EB673" w:rsidR="007A4D82" w:rsidRPr="00AD4D95" w:rsidRDefault="00266AD6" w:rsidP="00EB20D2">
            <w:pPr>
              <w:rPr>
                <w:rFonts w:ascii="Aptos" w:hAnsi="Aptos"/>
              </w:rPr>
            </w:pPr>
            <w:r>
              <w:rPr>
                <w:rFonts w:ascii="Aptos" w:hAnsi="Aptos"/>
              </w:rPr>
              <w:t>September 2025</w:t>
            </w:r>
          </w:p>
        </w:tc>
      </w:tr>
      <w:tr w:rsidR="007A4D82" w:rsidRPr="00AD4D95" w14:paraId="232DB0BC" w14:textId="77777777" w:rsidTr="00EB20D2">
        <w:tc>
          <w:tcPr>
            <w:tcW w:w="3539" w:type="dxa"/>
            <w:shd w:val="clear" w:color="auto" w:fill="D9D9D9" w:themeFill="background1" w:themeFillShade="D9"/>
          </w:tcPr>
          <w:p w14:paraId="4A508FD5" w14:textId="77777777" w:rsidR="007A4D82" w:rsidRPr="00AD4D95" w:rsidRDefault="007A4D82" w:rsidP="00EB20D2">
            <w:pPr>
              <w:rPr>
                <w:rFonts w:ascii="Aptos" w:hAnsi="Aptos"/>
                <w:b/>
                <w:bCs/>
              </w:rPr>
            </w:pPr>
            <w:r w:rsidRPr="00AD4D95">
              <w:rPr>
                <w:rFonts w:ascii="Aptos" w:hAnsi="Aptos"/>
                <w:b/>
                <w:bCs/>
              </w:rPr>
              <w:t>Owner</w:t>
            </w:r>
            <w:r>
              <w:rPr>
                <w:rFonts w:ascii="Aptos" w:hAnsi="Aptos"/>
                <w:b/>
                <w:bCs/>
              </w:rPr>
              <w:t xml:space="preserve"> (Service)</w:t>
            </w:r>
            <w:r w:rsidRPr="00AD4D95">
              <w:rPr>
                <w:rFonts w:ascii="Aptos" w:hAnsi="Aptos"/>
                <w:b/>
                <w:bCs/>
              </w:rPr>
              <w:t>:</w:t>
            </w:r>
          </w:p>
        </w:tc>
        <w:tc>
          <w:tcPr>
            <w:tcW w:w="5477" w:type="dxa"/>
          </w:tcPr>
          <w:p w14:paraId="0FAAB6A6" w14:textId="601DB2F9" w:rsidR="007A4D82" w:rsidRPr="00AD4D95" w:rsidRDefault="007A4D82" w:rsidP="00EB20D2">
            <w:pPr>
              <w:rPr>
                <w:rFonts w:ascii="Aptos" w:hAnsi="Aptos"/>
              </w:rPr>
            </w:pPr>
            <w:r>
              <w:rPr>
                <w:rFonts w:ascii="Aptos" w:hAnsi="Aptos"/>
              </w:rPr>
              <w:t>Chief Financial Officer</w:t>
            </w:r>
          </w:p>
        </w:tc>
      </w:tr>
      <w:tr w:rsidR="007A4D82" w:rsidRPr="00AD4D95" w14:paraId="72A191AA" w14:textId="77777777" w:rsidTr="00EB20D2">
        <w:tc>
          <w:tcPr>
            <w:tcW w:w="3539" w:type="dxa"/>
            <w:shd w:val="clear" w:color="auto" w:fill="D9D9D9" w:themeFill="background1" w:themeFillShade="D9"/>
          </w:tcPr>
          <w:p w14:paraId="2AE1D924" w14:textId="77777777" w:rsidR="007A4D82" w:rsidRPr="00AD4D95" w:rsidRDefault="007A4D82" w:rsidP="00EB20D2">
            <w:pPr>
              <w:rPr>
                <w:rFonts w:ascii="Aptos" w:hAnsi="Aptos"/>
                <w:b/>
                <w:bCs/>
              </w:rPr>
            </w:pPr>
            <w:r w:rsidRPr="00AD4D95">
              <w:rPr>
                <w:rFonts w:ascii="Aptos" w:hAnsi="Aptos"/>
                <w:b/>
                <w:bCs/>
              </w:rPr>
              <w:t>Reviewer Head of Service:</w:t>
            </w:r>
          </w:p>
        </w:tc>
        <w:tc>
          <w:tcPr>
            <w:tcW w:w="5477" w:type="dxa"/>
          </w:tcPr>
          <w:p w14:paraId="35540070" w14:textId="14596A59" w:rsidR="007A4D82" w:rsidRPr="00AD4D95" w:rsidRDefault="007A4D82" w:rsidP="00EB20D2">
            <w:pPr>
              <w:rPr>
                <w:rFonts w:ascii="Aptos" w:hAnsi="Aptos"/>
              </w:rPr>
            </w:pPr>
            <w:r>
              <w:rPr>
                <w:rFonts w:ascii="Aptos" w:hAnsi="Aptos"/>
              </w:rPr>
              <w:t>Chief Financial Officer</w:t>
            </w:r>
          </w:p>
        </w:tc>
      </w:tr>
      <w:tr w:rsidR="007A4D82" w:rsidRPr="00AD4D95" w14:paraId="3D84427C" w14:textId="77777777" w:rsidTr="00EB20D2">
        <w:tc>
          <w:tcPr>
            <w:tcW w:w="3539" w:type="dxa"/>
            <w:shd w:val="clear" w:color="auto" w:fill="D9D9D9" w:themeFill="background1" w:themeFillShade="D9"/>
          </w:tcPr>
          <w:p w14:paraId="3B5E23D0" w14:textId="77777777" w:rsidR="007A4D82" w:rsidRPr="00AD4D95" w:rsidRDefault="007A4D82" w:rsidP="00EB20D2">
            <w:pPr>
              <w:rPr>
                <w:rFonts w:ascii="Aptos" w:hAnsi="Aptos"/>
                <w:b/>
                <w:bCs/>
              </w:rPr>
            </w:pPr>
            <w:r w:rsidRPr="00AD4D95">
              <w:rPr>
                <w:rFonts w:ascii="Aptos" w:hAnsi="Aptos"/>
                <w:b/>
                <w:bCs/>
              </w:rPr>
              <w:t>Approver Executive Director:</w:t>
            </w:r>
          </w:p>
        </w:tc>
        <w:tc>
          <w:tcPr>
            <w:tcW w:w="5477" w:type="dxa"/>
          </w:tcPr>
          <w:p w14:paraId="2590C28C" w14:textId="0043F798" w:rsidR="007A4D82" w:rsidRPr="00AD4D95" w:rsidRDefault="007A4D82" w:rsidP="00EB20D2">
            <w:pPr>
              <w:rPr>
                <w:rFonts w:ascii="Aptos" w:hAnsi="Aptos"/>
              </w:rPr>
            </w:pPr>
            <w:r>
              <w:rPr>
                <w:rFonts w:ascii="Aptos" w:hAnsi="Aptos"/>
              </w:rPr>
              <w:t>Executive Director for Economy, Enterprise and Operations</w:t>
            </w:r>
          </w:p>
        </w:tc>
      </w:tr>
      <w:tr w:rsidR="007A4D82" w:rsidRPr="00AD4D95" w14:paraId="0F308C0C" w14:textId="77777777" w:rsidTr="00EB20D2">
        <w:tc>
          <w:tcPr>
            <w:tcW w:w="3539" w:type="dxa"/>
            <w:shd w:val="clear" w:color="auto" w:fill="D9D9D9" w:themeFill="background1" w:themeFillShade="D9"/>
          </w:tcPr>
          <w:p w14:paraId="15F76FC8" w14:textId="77777777" w:rsidR="007A4D82" w:rsidRPr="00AD4D95" w:rsidRDefault="007A4D82" w:rsidP="00EB20D2">
            <w:pPr>
              <w:rPr>
                <w:rFonts w:ascii="Aptos" w:hAnsi="Aptos"/>
                <w:b/>
                <w:bCs/>
              </w:rPr>
            </w:pPr>
            <w:r w:rsidRPr="00AD4D95">
              <w:rPr>
                <w:rFonts w:ascii="Aptos" w:hAnsi="Aptos"/>
                <w:b/>
                <w:bCs/>
              </w:rPr>
              <w:t>Date Approved:</w:t>
            </w:r>
          </w:p>
        </w:tc>
        <w:tc>
          <w:tcPr>
            <w:tcW w:w="5477" w:type="dxa"/>
          </w:tcPr>
          <w:p w14:paraId="5088123D" w14:textId="4BB61D7E" w:rsidR="007A4D82" w:rsidRPr="00AD4D95" w:rsidRDefault="00266AD6" w:rsidP="00EB20D2">
            <w:pPr>
              <w:rPr>
                <w:rFonts w:ascii="Aptos" w:hAnsi="Aptos"/>
              </w:rPr>
            </w:pPr>
            <w:r>
              <w:rPr>
                <w:rFonts w:ascii="Aptos" w:hAnsi="Aptos"/>
              </w:rPr>
              <w:t>September 2025</w:t>
            </w:r>
          </w:p>
        </w:tc>
      </w:tr>
      <w:tr w:rsidR="007A4D82" w:rsidRPr="00AD4D95" w14:paraId="5678CE8C" w14:textId="77777777" w:rsidTr="00EB20D2">
        <w:tc>
          <w:tcPr>
            <w:tcW w:w="3539" w:type="dxa"/>
            <w:shd w:val="clear" w:color="auto" w:fill="D9D9D9" w:themeFill="background1" w:themeFillShade="D9"/>
          </w:tcPr>
          <w:p w14:paraId="547972B0" w14:textId="77777777" w:rsidR="007A4D82" w:rsidRPr="00AD4D95" w:rsidRDefault="007A4D82" w:rsidP="00EB20D2">
            <w:pPr>
              <w:rPr>
                <w:rFonts w:ascii="Aptos" w:hAnsi="Aptos"/>
                <w:b/>
                <w:bCs/>
              </w:rPr>
            </w:pPr>
            <w:r w:rsidRPr="00AD4D95">
              <w:rPr>
                <w:rFonts w:ascii="Aptos" w:hAnsi="Aptos"/>
                <w:b/>
                <w:bCs/>
              </w:rPr>
              <w:t>Approver (Committee):</w:t>
            </w:r>
          </w:p>
        </w:tc>
        <w:tc>
          <w:tcPr>
            <w:tcW w:w="5477" w:type="dxa"/>
          </w:tcPr>
          <w:p w14:paraId="5231AAF8" w14:textId="4C2148C0" w:rsidR="007A4D82" w:rsidRPr="00AD4D95" w:rsidRDefault="007A4D82" w:rsidP="00EB20D2">
            <w:pPr>
              <w:rPr>
                <w:rFonts w:ascii="Aptos" w:hAnsi="Aptos"/>
              </w:rPr>
            </w:pPr>
            <w:r>
              <w:rPr>
                <w:rFonts w:ascii="Aptos" w:hAnsi="Aptos"/>
              </w:rPr>
              <w:t>Moray Council</w:t>
            </w:r>
          </w:p>
        </w:tc>
      </w:tr>
      <w:tr w:rsidR="007A4D82" w:rsidRPr="00AD4D95" w14:paraId="3470D896" w14:textId="77777777" w:rsidTr="00EB20D2">
        <w:tc>
          <w:tcPr>
            <w:tcW w:w="3539" w:type="dxa"/>
            <w:shd w:val="clear" w:color="auto" w:fill="D9D9D9" w:themeFill="background1" w:themeFillShade="D9"/>
          </w:tcPr>
          <w:p w14:paraId="7398C49F" w14:textId="77777777" w:rsidR="007A4D82" w:rsidRPr="00AD4D95" w:rsidRDefault="007A4D82" w:rsidP="00EB20D2">
            <w:pPr>
              <w:rPr>
                <w:rFonts w:ascii="Aptos" w:hAnsi="Aptos"/>
                <w:b/>
                <w:bCs/>
              </w:rPr>
            </w:pPr>
            <w:r w:rsidRPr="00AD4D95">
              <w:rPr>
                <w:rFonts w:ascii="Aptos" w:hAnsi="Aptos"/>
                <w:b/>
                <w:bCs/>
              </w:rPr>
              <w:t>Date Approved:</w:t>
            </w:r>
          </w:p>
        </w:tc>
        <w:tc>
          <w:tcPr>
            <w:tcW w:w="5477" w:type="dxa"/>
          </w:tcPr>
          <w:p w14:paraId="46BBF9F4" w14:textId="1CE72ACA" w:rsidR="007A4D82" w:rsidRPr="00AD4D95" w:rsidRDefault="00266AD6" w:rsidP="00EB20D2">
            <w:pPr>
              <w:rPr>
                <w:rFonts w:ascii="Aptos" w:hAnsi="Aptos"/>
              </w:rPr>
            </w:pPr>
            <w:r>
              <w:rPr>
                <w:rFonts w:ascii="Aptos" w:hAnsi="Aptos"/>
              </w:rPr>
              <w:t>24 September 2025</w:t>
            </w:r>
          </w:p>
        </w:tc>
      </w:tr>
      <w:tr w:rsidR="007A4D82" w:rsidRPr="00AD4D95" w14:paraId="51EDDE59" w14:textId="77777777" w:rsidTr="00EB20D2">
        <w:tc>
          <w:tcPr>
            <w:tcW w:w="3539" w:type="dxa"/>
            <w:shd w:val="clear" w:color="auto" w:fill="D9D9D9" w:themeFill="background1" w:themeFillShade="D9"/>
          </w:tcPr>
          <w:p w14:paraId="6831CF40" w14:textId="77777777" w:rsidR="007A4D82" w:rsidRPr="00AD4D95" w:rsidRDefault="007A4D82" w:rsidP="00EB20D2">
            <w:pPr>
              <w:rPr>
                <w:rFonts w:ascii="Aptos" w:hAnsi="Aptos"/>
                <w:b/>
                <w:bCs/>
              </w:rPr>
            </w:pPr>
            <w:r w:rsidRPr="00AD4D95">
              <w:rPr>
                <w:rFonts w:ascii="Aptos" w:hAnsi="Aptos"/>
                <w:b/>
                <w:bCs/>
              </w:rPr>
              <w:t xml:space="preserve">Next Review Date: </w:t>
            </w:r>
          </w:p>
        </w:tc>
        <w:tc>
          <w:tcPr>
            <w:tcW w:w="5477" w:type="dxa"/>
          </w:tcPr>
          <w:p w14:paraId="59E8C581" w14:textId="18CE8FB8" w:rsidR="007A4D82" w:rsidRPr="00AD4D95" w:rsidRDefault="007A4D82" w:rsidP="00EB20D2">
            <w:pPr>
              <w:rPr>
                <w:rFonts w:ascii="Aptos" w:hAnsi="Aptos"/>
              </w:rPr>
            </w:pPr>
            <w:r>
              <w:rPr>
                <w:rFonts w:ascii="Aptos" w:hAnsi="Aptos"/>
              </w:rPr>
              <w:t>June 202</w:t>
            </w:r>
            <w:r w:rsidR="00911E45">
              <w:rPr>
                <w:rFonts w:ascii="Aptos" w:hAnsi="Aptos"/>
              </w:rPr>
              <w:t>8</w:t>
            </w:r>
          </w:p>
        </w:tc>
      </w:tr>
    </w:tbl>
    <w:p w14:paraId="2D77D92B" w14:textId="77777777" w:rsidR="007A4D82" w:rsidRDefault="007A4D82" w:rsidP="007A4D82"/>
    <w:p w14:paraId="7C06A9BA" w14:textId="77777777" w:rsidR="00266AD6" w:rsidRDefault="00266AD6" w:rsidP="007A4D82">
      <w:pPr>
        <w:rPr>
          <w:b/>
          <w:bCs/>
        </w:rPr>
      </w:pPr>
    </w:p>
    <w:p w14:paraId="69D3227B" w14:textId="7A647C6F" w:rsidR="007A4D82" w:rsidRPr="0084633B" w:rsidRDefault="007A4D82" w:rsidP="007A4D82">
      <w:pPr>
        <w:rPr>
          <w:b/>
          <w:bCs/>
        </w:rPr>
      </w:pPr>
      <w:r w:rsidRPr="0084633B">
        <w:rPr>
          <w:b/>
          <w:bCs/>
        </w:rPr>
        <w:lastRenderedPageBreak/>
        <w:t>Version History</w:t>
      </w:r>
    </w:p>
    <w:tbl>
      <w:tblPr>
        <w:tblW w:w="8364" w:type="dxa"/>
        <w:tblCellSpacing w:w="15" w:type="dxa"/>
        <w:tblCellMar>
          <w:top w:w="15" w:type="dxa"/>
          <w:left w:w="15" w:type="dxa"/>
          <w:bottom w:w="15" w:type="dxa"/>
          <w:right w:w="15" w:type="dxa"/>
        </w:tblCellMar>
        <w:tblLook w:val="04A0" w:firstRow="1" w:lastRow="0" w:firstColumn="1" w:lastColumn="0" w:noHBand="0" w:noVBand="1"/>
      </w:tblPr>
      <w:tblGrid>
        <w:gridCol w:w="897"/>
        <w:gridCol w:w="1436"/>
        <w:gridCol w:w="2269"/>
        <w:gridCol w:w="1919"/>
        <w:gridCol w:w="1843"/>
      </w:tblGrid>
      <w:tr w:rsidR="009A1D0B" w:rsidRPr="0084633B" w14:paraId="5A98A1B3" w14:textId="77777777" w:rsidTr="009A1D0B">
        <w:trPr>
          <w:tblHeader/>
          <w:tblCellSpacing w:w="15" w:type="dxa"/>
        </w:trPr>
        <w:tc>
          <w:tcPr>
            <w:tcW w:w="0" w:type="auto"/>
            <w:vAlign w:val="center"/>
            <w:hideMark/>
          </w:tcPr>
          <w:p w14:paraId="63DEBD0C" w14:textId="77777777" w:rsidR="007A4D82" w:rsidRPr="0084633B" w:rsidRDefault="007A4D82" w:rsidP="00EB20D2">
            <w:pPr>
              <w:rPr>
                <w:b/>
                <w:bCs/>
              </w:rPr>
            </w:pPr>
            <w:r w:rsidRPr="0084633B">
              <w:rPr>
                <w:b/>
                <w:bCs/>
              </w:rPr>
              <w:t>Version</w:t>
            </w:r>
          </w:p>
        </w:tc>
        <w:tc>
          <w:tcPr>
            <w:tcW w:w="0" w:type="auto"/>
            <w:vAlign w:val="center"/>
            <w:hideMark/>
          </w:tcPr>
          <w:p w14:paraId="73075291" w14:textId="77777777" w:rsidR="007A4D82" w:rsidRPr="0084633B" w:rsidRDefault="007A4D82" w:rsidP="00EB20D2">
            <w:pPr>
              <w:rPr>
                <w:b/>
                <w:bCs/>
              </w:rPr>
            </w:pPr>
            <w:r w:rsidRPr="0084633B">
              <w:rPr>
                <w:b/>
                <w:bCs/>
              </w:rPr>
              <w:t>Date</w:t>
            </w:r>
          </w:p>
        </w:tc>
        <w:tc>
          <w:tcPr>
            <w:tcW w:w="0" w:type="auto"/>
            <w:vAlign w:val="center"/>
            <w:hideMark/>
          </w:tcPr>
          <w:p w14:paraId="7AF78360" w14:textId="77777777" w:rsidR="007A4D82" w:rsidRPr="0084633B" w:rsidRDefault="007A4D82" w:rsidP="00EB20D2">
            <w:pPr>
              <w:rPr>
                <w:b/>
                <w:bCs/>
              </w:rPr>
            </w:pPr>
            <w:r w:rsidRPr="0084633B">
              <w:rPr>
                <w:b/>
                <w:bCs/>
              </w:rPr>
              <w:t>Author</w:t>
            </w:r>
          </w:p>
        </w:tc>
        <w:tc>
          <w:tcPr>
            <w:tcW w:w="1889" w:type="dxa"/>
            <w:vAlign w:val="center"/>
            <w:hideMark/>
          </w:tcPr>
          <w:p w14:paraId="04780013" w14:textId="77777777" w:rsidR="007A4D82" w:rsidRPr="0084633B" w:rsidRDefault="007A4D82" w:rsidP="00EB20D2">
            <w:pPr>
              <w:rPr>
                <w:b/>
                <w:bCs/>
              </w:rPr>
            </w:pPr>
            <w:r w:rsidRPr="0084633B">
              <w:rPr>
                <w:b/>
                <w:bCs/>
              </w:rPr>
              <w:t>Changes Made</w:t>
            </w:r>
          </w:p>
        </w:tc>
        <w:tc>
          <w:tcPr>
            <w:tcW w:w="1798" w:type="dxa"/>
            <w:vAlign w:val="center"/>
            <w:hideMark/>
          </w:tcPr>
          <w:p w14:paraId="0AA798AB" w14:textId="77777777" w:rsidR="007A4D82" w:rsidRPr="0084633B" w:rsidRDefault="007A4D82" w:rsidP="00EB20D2">
            <w:pPr>
              <w:rPr>
                <w:b/>
                <w:bCs/>
              </w:rPr>
            </w:pPr>
            <w:r w:rsidRPr="0084633B">
              <w:rPr>
                <w:b/>
                <w:bCs/>
              </w:rPr>
              <w:t>Approved By</w:t>
            </w:r>
          </w:p>
        </w:tc>
      </w:tr>
      <w:tr w:rsidR="009A1D0B" w:rsidRPr="0084633B" w14:paraId="3D8B67C1" w14:textId="77777777" w:rsidTr="009A1D0B">
        <w:trPr>
          <w:tblCellSpacing w:w="15" w:type="dxa"/>
        </w:trPr>
        <w:tc>
          <w:tcPr>
            <w:tcW w:w="0" w:type="auto"/>
            <w:vAlign w:val="center"/>
            <w:hideMark/>
          </w:tcPr>
          <w:p w14:paraId="2C80381B" w14:textId="77777777" w:rsidR="007A4D82" w:rsidRPr="0084633B" w:rsidRDefault="007A4D82" w:rsidP="00EB20D2">
            <w:r w:rsidRPr="0084633B">
              <w:t>1.0</w:t>
            </w:r>
          </w:p>
        </w:tc>
        <w:tc>
          <w:tcPr>
            <w:tcW w:w="0" w:type="auto"/>
            <w:vAlign w:val="center"/>
            <w:hideMark/>
          </w:tcPr>
          <w:p w14:paraId="4DF522BF" w14:textId="05EFE093" w:rsidR="007A4D82" w:rsidRPr="0084633B" w:rsidRDefault="007A4D82" w:rsidP="00EB20D2">
            <w:r>
              <w:t>June 2017</w:t>
            </w:r>
          </w:p>
        </w:tc>
        <w:tc>
          <w:tcPr>
            <w:tcW w:w="0" w:type="auto"/>
            <w:vAlign w:val="center"/>
            <w:hideMark/>
          </w:tcPr>
          <w:p w14:paraId="5042E967" w14:textId="66A0530F" w:rsidR="007A4D82" w:rsidRPr="0084633B" w:rsidRDefault="007A4D82" w:rsidP="00EB20D2">
            <w:r>
              <w:t>Daniel Littlewood</w:t>
            </w:r>
            <w:r>
              <w:br/>
              <w:t>Assistant Manager (FMS and Banking)</w:t>
            </w:r>
          </w:p>
        </w:tc>
        <w:tc>
          <w:tcPr>
            <w:tcW w:w="1889" w:type="dxa"/>
            <w:vAlign w:val="center"/>
            <w:hideMark/>
          </w:tcPr>
          <w:p w14:paraId="32010376" w14:textId="77777777" w:rsidR="007A4D82" w:rsidRPr="0084633B" w:rsidRDefault="007A4D82" w:rsidP="00EB20D2">
            <w:r w:rsidRPr="0084633B">
              <w:t>Initial document</w:t>
            </w:r>
          </w:p>
        </w:tc>
        <w:tc>
          <w:tcPr>
            <w:tcW w:w="1798" w:type="dxa"/>
            <w:vAlign w:val="center"/>
            <w:hideMark/>
          </w:tcPr>
          <w:p w14:paraId="6BEEA70C" w14:textId="63A0A5F5" w:rsidR="007A4D82" w:rsidRPr="0084633B" w:rsidRDefault="009A1D0B" w:rsidP="00EB20D2">
            <w:r>
              <w:t>Moray Council</w:t>
            </w:r>
          </w:p>
        </w:tc>
      </w:tr>
      <w:tr w:rsidR="009A1D0B" w:rsidRPr="0084633B" w14:paraId="6B4C54B7" w14:textId="77777777" w:rsidTr="009A1D0B">
        <w:trPr>
          <w:tblCellSpacing w:w="15" w:type="dxa"/>
        </w:trPr>
        <w:tc>
          <w:tcPr>
            <w:tcW w:w="0" w:type="auto"/>
            <w:vAlign w:val="center"/>
            <w:hideMark/>
          </w:tcPr>
          <w:p w14:paraId="28181C46" w14:textId="77777777" w:rsidR="007A4D82" w:rsidRPr="0084633B" w:rsidRDefault="007A4D82" w:rsidP="00EB20D2">
            <w:r w:rsidRPr="0084633B">
              <w:t>1.1</w:t>
            </w:r>
          </w:p>
        </w:tc>
        <w:tc>
          <w:tcPr>
            <w:tcW w:w="0" w:type="auto"/>
            <w:vAlign w:val="center"/>
            <w:hideMark/>
          </w:tcPr>
          <w:p w14:paraId="40017602" w14:textId="024C13D4" w:rsidR="007A4D82" w:rsidRPr="0084633B" w:rsidRDefault="009A1D0B" w:rsidP="00EB20D2">
            <w:r>
              <w:t>September</w:t>
            </w:r>
            <w:r w:rsidR="007A4D82">
              <w:t xml:space="preserve"> 2025</w:t>
            </w:r>
          </w:p>
        </w:tc>
        <w:tc>
          <w:tcPr>
            <w:tcW w:w="0" w:type="auto"/>
            <w:vAlign w:val="center"/>
            <w:hideMark/>
          </w:tcPr>
          <w:p w14:paraId="1318F6A2" w14:textId="2F9F5C3D" w:rsidR="007A4D82" w:rsidRPr="0084633B" w:rsidRDefault="007A4D82" w:rsidP="00EB20D2">
            <w:r>
              <w:t>Daniel Littlewood</w:t>
            </w:r>
            <w:r>
              <w:br/>
              <w:t>Assistant Manager (FMS and Banking)</w:t>
            </w:r>
          </w:p>
        </w:tc>
        <w:tc>
          <w:tcPr>
            <w:tcW w:w="1889" w:type="dxa"/>
            <w:vAlign w:val="center"/>
            <w:hideMark/>
          </w:tcPr>
          <w:p w14:paraId="3FBA5867" w14:textId="7FF194C8" w:rsidR="007A4D82" w:rsidRPr="0084633B" w:rsidRDefault="009A1D0B" w:rsidP="00EB20D2">
            <w:r>
              <w:t>Split policy and process</w:t>
            </w:r>
          </w:p>
        </w:tc>
        <w:tc>
          <w:tcPr>
            <w:tcW w:w="1798" w:type="dxa"/>
            <w:vAlign w:val="center"/>
            <w:hideMark/>
          </w:tcPr>
          <w:p w14:paraId="6ADE400E" w14:textId="646A696D" w:rsidR="007A4D82" w:rsidRPr="0084633B" w:rsidRDefault="009A1D0B" w:rsidP="00EB20D2">
            <w:r>
              <w:t>Moray Council</w:t>
            </w:r>
          </w:p>
        </w:tc>
      </w:tr>
    </w:tbl>
    <w:p w14:paraId="4D2BD446" w14:textId="77777777" w:rsidR="007A4D82" w:rsidRDefault="007A4D82" w:rsidP="00DE34F4"/>
    <w:p w14:paraId="0B8E1388" w14:textId="77777777" w:rsidR="007A4D82" w:rsidRDefault="007A4D82" w:rsidP="00DE34F4"/>
    <w:p w14:paraId="023AA4BA" w14:textId="77777777" w:rsidR="007A4D82" w:rsidRDefault="007A4D82" w:rsidP="00DE34F4"/>
    <w:p w14:paraId="21F1C8A6" w14:textId="648FF86F" w:rsidR="00DE34F4" w:rsidRDefault="00DE34F4" w:rsidP="00DE34F4">
      <w:pPr>
        <w:rPr>
          <w:rFonts w:ascii="Arial" w:hAnsi="Arial" w:cs="Arial"/>
          <w:caps/>
          <w:noProof/>
          <w:kern w:val="32"/>
          <w:sz w:val="28"/>
          <w:szCs w:val="28"/>
          <w:lang w:eastAsia="en-GB"/>
          <w14:shadow w14:blurRad="50800" w14:dist="38100" w14:dir="2700000" w14:sx="100000" w14:sy="100000" w14:kx="0" w14:ky="0" w14:algn="tl">
            <w14:srgbClr w14:val="000000">
              <w14:alpha w14:val="60000"/>
            </w14:srgbClr>
          </w14:shadow>
        </w:rPr>
      </w:pPr>
      <w:r>
        <w:br w:type="page"/>
      </w:r>
    </w:p>
    <w:p w14:paraId="53AB5DF2" w14:textId="77777777" w:rsidR="00DE34F4" w:rsidRDefault="00DE34F4" w:rsidP="00DE34F4">
      <w:pPr>
        <w:pStyle w:val="NoSpacing"/>
        <w:jc w:val="center"/>
        <w:rPr>
          <w:rFonts w:ascii="Arial" w:hAnsi="Arial" w:cs="Arial"/>
          <w:sz w:val="48"/>
          <w:szCs w:val="48"/>
          <w:lang w:val="fr-FR"/>
        </w:rPr>
      </w:pPr>
      <w:r>
        <w:rPr>
          <w:rFonts w:ascii="Arial" w:hAnsi="Arial" w:cs="Arial"/>
          <w:sz w:val="48"/>
          <w:szCs w:val="48"/>
          <w:lang w:val="fr-FR"/>
        </w:rPr>
        <w:lastRenderedPageBreak/>
        <w:t>SUNDRY DEBT POLICY</w:t>
      </w:r>
    </w:p>
    <w:p w14:paraId="703FFE5A" w14:textId="77777777" w:rsidR="00DE34F4" w:rsidRPr="0019115F" w:rsidRDefault="00DE34F4" w:rsidP="00DE34F4">
      <w:pPr>
        <w:pStyle w:val="NoSpacing"/>
        <w:jc w:val="center"/>
        <w:rPr>
          <w:rFonts w:ascii="Arial" w:hAnsi="Arial" w:cs="Arial"/>
          <w:sz w:val="48"/>
          <w:szCs w:val="48"/>
          <w:lang w:val="fr-FR"/>
        </w:rPr>
      </w:pPr>
    </w:p>
    <w:p w14:paraId="620DC30C" w14:textId="77777777" w:rsidR="00DE34F4" w:rsidRPr="0019115F" w:rsidRDefault="00DE34F4" w:rsidP="00DE34F4">
      <w:pPr>
        <w:pStyle w:val="NoSpacing"/>
        <w:jc w:val="center"/>
        <w:rPr>
          <w:rFonts w:ascii="Arial" w:hAnsi="Arial" w:cs="Arial"/>
          <w:sz w:val="48"/>
          <w:szCs w:val="48"/>
          <w:lang w:val="fr-FR"/>
        </w:rPr>
      </w:pPr>
      <w:r w:rsidRPr="0019115F">
        <w:rPr>
          <w:rFonts w:ascii="Arial" w:hAnsi="Arial" w:cs="Arial"/>
          <w:sz w:val="48"/>
          <w:szCs w:val="48"/>
          <w:lang w:val="fr-FR"/>
        </w:rPr>
        <w:t>INDEX</w:t>
      </w:r>
    </w:p>
    <w:p w14:paraId="4500830B" w14:textId="77777777" w:rsidR="00DE34F4" w:rsidRDefault="00DE34F4" w:rsidP="00DE34F4">
      <w:pPr>
        <w:pStyle w:val="NoSpacing"/>
      </w:pPr>
    </w:p>
    <w:p w14:paraId="3FB0151D" w14:textId="77777777" w:rsidR="00DE34F4" w:rsidRDefault="00DE34F4" w:rsidP="00DE34F4">
      <w:pPr>
        <w:pStyle w:val="NoSpacing"/>
      </w:pPr>
    </w:p>
    <w:tbl>
      <w:tblPr>
        <w:tblStyle w:val="TableGrid"/>
        <w:tblW w:w="0" w:type="auto"/>
        <w:tblLook w:val="04A0" w:firstRow="1" w:lastRow="0" w:firstColumn="1" w:lastColumn="0" w:noHBand="0" w:noVBand="1"/>
      </w:tblPr>
      <w:tblGrid>
        <w:gridCol w:w="1129"/>
        <w:gridCol w:w="4678"/>
        <w:gridCol w:w="1769"/>
      </w:tblGrid>
      <w:tr w:rsidR="00DE34F4" w14:paraId="3593B3EC" w14:textId="77777777" w:rsidTr="00C738A8">
        <w:tc>
          <w:tcPr>
            <w:tcW w:w="1129" w:type="dxa"/>
          </w:tcPr>
          <w:p w14:paraId="6126C463" w14:textId="77777777" w:rsidR="00DE34F4" w:rsidRPr="00D6448E" w:rsidRDefault="00DE34F4" w:rsidP="00C738A8">
            <w:pPr>
              <w:pStyle w:val="NoSpacing"/>
              <w:rPr>
                <w:rFonts w:ascii="Arial" w:hAnsi="Arial" w:cs="Arial"/>
              </w:rPr>
            </w:pPr>
          </w:p>
        </w:tc>
        <w:tc>
          <w:tcPr>
            <w:tcW w:w="4678" w:type="dxa"/>
          </w:tcPr>
          <w:p w14:paraId="2748F56A" w14:textId="77777777" w:rsidR="00DE34F4" w:rsidRPr="00D6448E" w:rsidRDefault="00DE34F4" w:rsidP="00C738A8">
            <w:pPr>
              <w:pStyle w:val="NoSpacing"/>
              <w:rPr>
                <w:rFonts w:ascii="Arial" w:hAnsi="Arial" w:cs="Arial"/>
              </w:rPr>
            </w:pPr>
          </w:p>
        </w:tc>
        <w:tc>
          <w:tcPr>
            <w:tcW w:w="1769" w:type="dxa"/>
          </w:tcPr>
          <w:p w14:paraId="34FBA91E" w14:textId="77777777" w:rsidR="00DE34F4" w:rsidRPr="00D6448E" w:rsidRDefault="00DE34F4" w:rsidP="00C738A8">
            <w:pPr>
              <w:pStyle w:val="NoSpacing"/>
              <w:jc w:val="center"/>
              <w:rPr>
                <w:rFonts w:ascii="Arial" w:hAnsi="Arial" w:cs="Arial"/>
              </w:rPr>
            </w:pPr>
            <w:r w:rsidRPr="00D6448E">
              <w:rPr>
                <w:rFonts w:ascii="Arial" w:hAnsi="Arial" w:cs="Arial"/>
              </w:rPr>
              <w:t>PAGE NUMBER</w:t>
            </w:r>
          </w:p>
        </w:tc>
      </w:tr>
      <w:tr w:rsidR="00DE34F4" w14:paraId="3A280004" w14:textId="77777777" w:rsidTr="00C738A8">
        <w:tc>
          <w:tcPr>
            <w:tcW w:w="1129" w:type="dxa"/>
          </w:tcPr>
          <w:p w14:paraId="7E6A3E45" w14:textId="77777777" w:rsidR="00DE34F4" w:rsidRPr="00D6448E" w:rsidRDefault="00DE34F4" w:rsidP="00C738A8">
            <w:pPr>
              <w:pStyle w:val="NoSpacing"/>
              <w:jc w:val="center"/>
              <w:rPr>
                <w:rFonts w:ascii="Arial" w:hAnsi="Arial" w:cs="Arial"/>
              </w:rPr>
            </w:pPr>
            <w:r w:rsidRPr="00D6448E">
              <w:rPr>
                <w:rFonts w:ascii="Arial" w:hAnsi="Arial" w:cs="Arial"/>
              </w:rPr>
              <w:t>1</w:t>
            </w:r>
          </w:p>
        </w:tc>
        <w:tc>
          <w:tcPr>
            <w:tcW w:w="4678" w:type="dxa"/>
          </w:tcPr>
          <w:p w14:paraId="4CE3DF97" w14:textId="77777777" w:rsidR="00DE34F4" w:rsidRDefault="00DE34F4" w:rsidP="00C738A8">
            <w:pPr>
              <w:pStyle w:val="NoSpacing"/>
              <w:rPr>
                <w:rFonts w:ascii="Arial" w:hAnsi="Arial" w:cs="Arial"/>
              </w:rPr>
            </w:pPr>
            <w:r w:rsidRPr="00D6448E">
              <w:rPr>
                <w:rFonts w:ascii="Arial" w:hAnsi="Arial" w:cs="Arial"/>
              </w:rPr>
              <w:t>INTRODUCTION</w:t>
            </w:r>
          </w:p>
          <w:p w14:paraId="5D058DE1" w14:textId="77777777" w:rsidR="00DE34F4" w:rsidRPr="00D6448E" w:rsidRDefault="00DE34F4" w:rsidP="00C738A8">
            <w:pPr>
              <w:pStyle w:val="NoSpacing"/>
              <w:rPr>
                <w:rFonts w:ascii="Arial" w:hAnsi="Arial" w:cs="Arial"/>
              </w:rPr>
            </w:pPr>
          </w:p>
        </w:tc>
        <w:tc>
          <w:tcPr>
            <w:tcW w:w="1769" w:type="dxa"/>
          </w:tcPr>
          <w:p w14:paraId="3920CB67" w14:textId="77777777" w:rsidR="00DE34F4" w:rsidRPr="00D6448E" w:rsidRDefault="00DE34F4" w:rsidP="00C738A8">
            <w:pPr>
              <w:pStyle w:val="NoSpacing"/>
              <w:jc w:val="center"/>
              <w:rPr>
                <w:rFonts w:ascii="Arial" w:hAnsi="Arial" w:cs="Arial"/>
              </w:rPr>
            </w:pPr>
            <w:r w:rsidRPr="00D6448E">
              <w:rPr>
                <w:rFonts w:ascii="Arial" w:hAnsi="Arial" w:cs="Arial"/>
              </w:rPr>
              <w:t>1</w:t>
            </w:r>
          </w:p>
        </w:tc>
      </w:tr>
      <w:tr w:rsidR="00DE34F4" w14:paraId="5D675265" w14:textId="77777777" w:rsidTr="00C738A8">
        <w:tc>
          <w:tcPr>
            <w:tcW w:w="1129" w:type="dxa"/>
          </w:tcPr>
          <w:p w14:paraId="2B956BE0" w14:textId="77777777" w:rsidR="00DE34F4" w:rsidRPr="00D6448E" w:rsidRDefault="00DE34F4" w:rsidP="00C738A8">
            <w:pPr>
              <w:pStyle w:val="NoSpacing"/>
              <w:jc w:val="center"/>
              <w:rPr>
                <w:rFonts w:ascii="Arial" w:hAnsi="Arial" w:cs="Arial"/>
              </w:rPr>
            </w:pPr>
            <w:r w:rsidRPr="00D6448E">
              <w:rPr>
                <w:rFonts w:ascii="Arial" w:hAnsi="Arial" w:cs="Arial"/>
              </w:rPr>
              <w:t>2</w:t>
            </w:r>
          </w:p>
        </w:tc>
        <w:tc>
          <w:tcPr>
            <w:tcW w:w="4678" w:type="dxa"/>
          </w:tcPr>
          <w:p w14:paraId="1E5842B9" w14:textId="77777777" w:rsidR="00DE34F4" w:rsidRDefault="00DE34F4" w:rsidP="00C738A8">
            <w:pPr>
              <w:pStyle w:val="NoSpacing"/>
              <w:rPr>
                <w:rFonts w:ascii="Arial" w:hAnsi="Arial" w:cs="Arial"/>
              </w:rPr>
            </w:pPr>
            <w:r w:rsidRPr="00D6448E">
              <w:rPr>
                <w:rFonts w:ascii="Arial" w:hAnsi="Arial" w:cs="Arial"/>
              </w:rPr>
              <w:t>ISSUING ACCOUNTS</w:t>
            </w:r>
          </w:p>
          <w:p w14:paraId="3B047E96" w14:textId="77777777" w:rsidR="00DE34F4" w:rsidRPr="00D6448E" w:rsidRDefault="00DE34F4" w:rsidP="00C738A8">
            <w:pPr>
              <w:pStyle w:val="NoSpacing"/>
              <w:rPr>
                <w:rFonts w:ascii="Arial" w:hAnsi="Arial" w:cs="Arial"/>
              </w:rPr>
            </w:pPr>
          </w:p>
        </w:tc>
        <w:tc>
          <w:tcPr>
            <w:tcW w:w="1769" w:type="dxa"/>
          </w:tcPr>
          <w:p w14:paraId="36790FFE" w14:textId="77777777" w:rsidR="00DE34F4" w:rsidRPr="00D6448E" w:rsidRDefault="00DE34F4" w:rsidP="00C738A8">
            <w:pPr>
              <w:pStyle w:val="NoSpacing"/>
              <w:jc w:val="center"/>
              <w:rPr>
                <w:rFonts w:ascii="Arial" w:hAnsi="Arial" w:cs="Arial"/>
              </w:rPr>
            </w:pPr>
            <w:r w:rsidRPr="00D6448E">
              <w:rPr>
                <w:rFonts w:ascii="Arial" w:hAnsi="Arial" w:cs="Arial"/>
              </w:rPr>
              <w:t>2</w:t>
            </w:r>
          </w:p>
        </w:tc>
      </w:tr>
      <w:tr w:rsidR="00DE34F4" w14:paraId="7407F519" w14:textId="77777777" w:rsidTr="00C738A8">
        <w:tc>
          <w:tcPr>
            <w:tcW w:w="1129" w:type="dxa"/>
          </w:tcPr>
          <w:p w14:paraId="5FD0E5B3" w14:textId="77777777" w:rsidR="00DE34F4" w:rsidRPr="00D6448E" w:rsidRDefault="00DE34F4" w:rsidP="00C738A8">
            <w:pPr>
              <w:pStyle w:val="NoSpacing"/>
              <w:jc w:val="center"/>
              <w:rPr>
                <w:rFonts w:ascii="Arial" w:hAnsi="Arial" w:cs="Arial"/>
              </w:rPr>
            </w:pPr>
            <w:r w:rsidRPr="00D6448E">
              <w:rPr>
                <w:rFonts w:ascii="Arial" w:hAnsi="Arial" w:cs="Arial"/>
              </w:rPr>
              <w:t>3</w:t>
            </w:r>
          </w:p>
        </w:tc>
        <w:tc>
          <w:tcPr>
            <w:tcW w:w="4678" w:type="dxa"/>
          </w:tcPr>
          <w:p w14:paraId="6C08EB47" w14:textId="77777777" w:rsidR="00DE34F4" w:rsidRDefault="00DE34F4" w:rsidP="00C738A8">
            <w:pPr>
              <w:pStyle w:val="NoSpacing"/>
              <w:rPr>
                <w:rFonts w:ascii="Arial" w:hAnsi="Arial" w:cs="Arial"/>
              </w:rPr>
            </w:pPr>
            <w:r w:rsidRPr="00D6448E">
              <w:rPr>
                <w:rFonts w:ascii="Arial" w:hAnsi="Arial" w:cs="Arial"/>
              </w:rPr>
              <w:t>FOLLOW UP PROCEDURE</w:t>
            </w:r>
          </w:p>
          <w:p w14:paraId="2D36E82C" w14:textId="77777777" w:rsidR="00DE34F4" w:rsidRPr="00D6448E" w:rsidRDefault="00DE34F4" w:rsidP="00C738A8">
            <w:pPr>
              <w:pStyle w:val="NoSpacing"/>
              <w:rPr>
                <w:rFonts w:ascii="Arial" w:hAnsi="Arial" w:cs="Arial"/>
              </w:rPr>
            </w:pPr>
          </w:p>
        </w:tc>
        <w:tc>
          <w:tcPr>
            <w:tcW w:w="1769" w:type="dxa"/>
          </w:tcPr>
          <w:p w14:paraId="2E75B0AF" w14:textId="77777777" w:rsidR="00DE34F4" w:rsidRPr="00D6448E" w:rsidRDefault="00DE34F4" w:rsidP="00C738A8">
            <w:pPr>
              <w:pStyle w:val="NoSpacing"/>
              <w:jc w:val="center"/>
              <w:rPr>
                <w:rFonts w:ascii="Arial" w:hAnsi="Arial" w:cs="Arial"/>
              </w:rPr>
            </w:pPr>
            <w:r>
              <w:rPr>
                <w:rFonts w:ascii="Arial" w:hAnsi="Arial" w:cs="Arial"/>
              </w:rPr>
              <w:t>3</w:t>
            </w:r>
          </w:p>
        </w:tc>
      </w:tr>
      <w:tr w:rsidR="00DE34F4" w14:paraId="549BC51A" w14:textId="77777777" w:rsidTr="00C738A8">
        <w:tc>
          <w:tcPr>
            <w:tcW w:w="1129" w:type="dxa"/>
          </w:tcPr>
          <w:p w14:paraId="7052C3E1" w14:textId="77777777" w:rsidR="00DE34F4" w:rsidRPr="00D6448E" w:rsidRDefault="00DE34F4" w:rsidP="00C738A8">
            <w:pPr>
              <w:pStyle w:val="NoSpacing"/>
              <w:jc w:val="center"/>
              <w:rPr>
                <w:rFonts w:ascii="Arial" w:hAnsi="Arial" w:cs="Arial"/>
              </w:rPr>
            </w:pPr>
            <w:r w:rsidRPr="00D6448E">
              <w:rPr>
                <w:rFonts w:ascii="Arial" w:hAnsi="Arial" w:cs="Arial"/>
              </w:rPr>
              <w:t>4</w:t>
            </w:r>
          </w:p>
        </w:tc>
        <w:tc>
          <w:tcPr>
            <w:tcW w:w="4678" w:type="dxa"/>
          </w:tcPr>
          <w:p w14:paraId="32317C0F" w14:textId="77777777" w:rsidR="00DE34F4" w:rsidRDefault="00DE34F4" w:rsidP="00C738A8">
            <w:pPr>
              <w:pStyle w:val="NoSpacing"/>
              <w:rPr>
                <w:rFonts w:ascii="Arial" w:hAnsi="Arial" w:cs="Arial"/>
              </w:rPr>
            </w:pPr>
            <w:r w:rsidRPr="00D6448E">
              <w:rPr>
                <w:rFonts w:ascii="Arial" w:hAnsi="Arial" w:cs="Arial"/>
              </w:rPr>
              <w:t>DISPUTED ACCOUNTS</w:t>
            </w:r>
          </w:p>
          <w:p w14:paraId="2F7125E4" w14:textId="77777777" w:rsidR="00DE34F4" w:rsidRPr="00D6448E" w:rsidRDefault="00DE34F4" w:rsidP="00C738A8">
            <w:pPr>
              <w:pStyle w:val="NoSpacing"/>
              <w:rPr>
                <w:rFonts w:ascii="Arial" w:hAnsi="Arial" w:cs="Arial"/>
              </w:rPr>
            </w:pPr>
          </w:p>
        </w:tc>
        <w:tc>
          <w:tcPr>
            <w:tcW w:w="1769" w:type="dxa"/>
          </w:tcPr>
          <w:p w14:paraId="22C75886" w14:textId="7F06E624" w:rsidR="00DE34F4" w:rsidRPr="00D6448E" w:rsidRDefault="009A1D0B" w:rsidP="00C738A8">
            <w:pPr>
              <w:pStyle w:val="NoSpacing"/>
              <w:jc w:val="center"/>
              <w:rPr>
                <w:rFonts w:ascii="Arial" w:hAnsi="Arial" w:cs="Arial"/>
              </w:rPr>
            </w:pPr>
            <w:r>
              <w:rPr>
                <w:rFonts w:ascii="Arial" w:hAnsi="Arial" w:cs="Arial"/>
              </w:rPr>
              <w:t>5</w:t>
            </w:r>
          </w:p>
        </w:tc>
      </w:tr>
    </w:tbl>
    <w:p w14:paraId="76E547AA" w14:textId="77777777" w:rsidR="00DE34F4" w:rsidRDefault="00DE34F4" w:rsidP="008D6A18">
      <w:pPr>
        <w:pStyle w:val="ABCChapterHeading"/>
        <w:sectPr w:rsidR="00DE34F4" w:rsidSect="00DE34F4">
          <w:headerReference w:type="default" r:id="rId14"/>
          <w:footerReference w:type="even" r:id="rId15"/>
          <w:footerReference w:type="default" r:id="rId16"/>
          <w:footerReference w:type="first" r:id="rId17"/>
          <w:pgSz w:w="11906" w:h="16838" w:code="9"/>
          <w:pgMar w:top="1440" w:right="2160" w:bottom="1440" w:left="2160" w:header="720" w:footer="720" w:gutter="0"/>
          <w:pgNumType w:start="1"/>
          <w:cols w:space="720"/>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tblGrid>
      <w:tr w:rsidR="00DE34F4" w14:paraId="6C46AD93" w14:textId="77777777" w:rsidTr="00C738A8">
        <w:tc>
          <w:tcPr>
            <w:tcW w:w="567" w:type="dxa"/>
          </w:tcPr>
          <w:p w14:paraId="54FB4110" w14:textId="77777777" w:rsidR="00DE34F4" w:rsidRPr="00AA02C3" w:rsidRDefault="00DE34F4" w:rsidP="00DE34F4">
            <w:pPr>
              <w:pStyle w:val="NoSpacing"/>
              <w:numPr>
                <w:ilvl w:val="0"/>
                <w:numId w:val="16"/>
              </w:numPr>
              <w:rPr>
                <w:rFonts w:ascii="Arial" w:hAnsi="Arial" w:cs="Arial"/>
                <w:b/>
                <w:bCs/>
                <w:u w:val="single"/>
              </w:rPr>
            </w:pPr>
          </w:p>
        </w:tc>
        <w:tc>
          <w:tcPr>
            <w:tcW w:w="7655" w:type="dxa"/>
          </w:tcPr>
          <w:p w14:paraId="45FBE9D7" w14:textId="77777777" w:rsidR="00DE34F4" w:rsidRPr="00AA02C3" w:rsidRDefault="00DE34F4" w:rsidP="00C738A8">
            <w:pPr>
              <w:pStyle w:val="NoSpacing"/>
              <w:rPr>
                <w:rFonts w:ascii="Arial" w:hAnsi="Arial" w:cs="Arial"/>
                <w:b/>
                <w:bCs/>
                <w:u w:val="single"/>
              </w:rPr>
            </w:pPr>
            <w:r w:rsidRPr="00AA02C3">
              <w:rPr>
                <w:rFonts w:ascii="Arial" w:hAnsi="Arial" w:cs="Arial"/>
                <w:b/>
                <w:bCs/>
                <w:u w:val="single"/>
              </w:rPr>
              <w:t>INTRODUCTION</w:t>
            </w:r>
          </w:p>
        </w:tc>
      </w:tr>
      <w:tr w:rsidR="00DE34F4" w14:paraId="37B194ED" w14:textId="77777777" w:rsidTr="00C738A8">
        <w:tc>
          <w:tcPr>
            <w:tcW w:w="567" w:type="dxa"/>
          </w:tcPr>
          <w:p w14:paraId="6E7DE3C0" w14:textId="77777777" w:rsidR="00DE34F4" w:rsidRDefault="00DE34F4" w:rsidP="00C738A8">
            <w:pPr>
              <w:pStyle w:val="NoSpacing"/>
              <w:rPr>
                <w:rFonts w:ascii="Arial" w:hAnsi="Arial" w:cs="Arial"/>
              </w:rPr>
            </w:pPr>
          </w:p>
        </w:tc>
        <w:tc>
          <w:tcPr>
            <w:tcW w:w="7655" w:type="dxa"/>
          </w:tcPr>
          <w:p w14:paraId="6E97269F" w14:textId="77777777" w:rsidR="00DE34F4" w:rsidRPr="0019115F" w:rsidRDefault="00DE34F4" w:rsidP="00C738A8">
            <w:pPr>
              <w:pStyle w:val="NoSpacing"/>
              <w:rPr>
                <w:rFonts w:ascii="Arial" w:hAnsi="Arial" w:cs="Arial"/>
              </w:rPr>
            </w:pPr>
          </w:p>
        </w:tc>
      </w:tr>
      <w:tr w:rsidR="00DE34F4" w14:paraId="74DDD86B" w14:textId="77777777" w:rsidTr="00C738A8">
        <w:tc>
          <w:tcPr>
            <w:tcW w:w="567" w:type="dxa"/>
          </w:tcPr>
          <w:p w14:paraId="32AB28FB" w14:textId="77777777" w:rsidR="00DE34F4" w:rsidRDefault="00DE34F4" w:rsidP="00C738A8">
            <w:pPr>
              <w:pStyle w:val="NoSpacing"/>
              <w:rPr>
                <w:rFonts w:ascii="Arial" w:hAnsi="Arial" w:cs="Arial"/>
              </w:rPr>
            </w:pPr>
            <w:r>
              <w:rPr>
                <w:rFonts w:ascii="Arial" w:hAnsi="Arial" w:cs="Arial"/>
              </w:rPr>
              <w:t>1.1</w:t>
            </w:r>
          </w:p>
        </w:tc>
        <w:tc>
          <w:tcPr>
            <w:tcW w:w="7655" w:type="dxa"/>
          </w:tcPr>
          <w:p w14:paraId="6B4FF9B3" w14:textId="77777777" w:rsidR="00DE34F4" w:rsidRPr="0019115F" w:rsidRDefault="00DE34F4" w:rsidP="008D6A18">
            <w:pPr>
              <w:pStyle w:val="NoSpacing"/>
              <w:rPr>
                <w:rFonts w:ascii="Arial" w:hAnsi="Arial" w:cs="Arial"/>
              </w:rPr>
            </w:pPr>
            <w:r w:rsidRPr="0019115F">
              <w:rPr>
                <w:rFonts w:ascii="Arial" w:hAnsi="Arial" w:cs="Arial"/>
              </w:rPr>
              <w:t>The purpose of this document is to set out the Council’s policy for Sundry Debt.  This excludes Council Tax, Non Domestic Rates, Industrial Site Rents and Housing Rents.  The Council approves a policy for Charges for Services and this is periodically updated.  The policy for Charges includes considerations relevant to Sundry Debt and these procedures should be read in conjunction with that policy.</w:t>
            </w:r>
          </w:p>
          <w:p w14:paraId="762B4408" w14:textId="77777777" w:rsidR="00DE34F4" w:rsidRDefault="00DE34F4" w:rsidP="008D6A18">
            <w:pPr>
              <w:pStyle w:val="NoSpacing"/>
              <w:rPr>
                <w:rFonts w:ascii="Arial" w:hAnsi="Arial" w:cs="Arial"/>
              </w:rPr>
            </w:pPr>
          </w:p>
        </w:tc>
      </w:tr>
      <w:tr w:rsidR="00DE34F4" w14:paraId="2F00813E" w14:textId="77777777" w:rsidTr="00C738A8">
        <w:tc>
          <w:tcPr>
            <w:tcW w:w="567" w:type="dxa"/>
          </w:tcPr>
          <w:p w14:paraId="7DC48843" w14:textId="77777777" w:rsidR="00DE34F4" w:rsidRDefault="00DE34F4" w:rsidP="00C738A8">
            <w:pPr>
              <w:pStyle w:val="NoSpacing"/>
              <w:rPr>
                <w:rFonts w:ascii="Arial" w:hAnsi="Arial" w:cs="Arial"/>
              </w:rPr>
            </w:pPr>
          </w:p>
        </w:tc>
        <w:tc>
          <w:tcPr>
            <w:tcW w:w="7655" w:type="dxa"/>
          </w:tcPr>
          <w:p w14:paraId="77AC7B3B" w14:textId="77777777" w:rsidR="00DE34F4" w:rsidRPr="0019115F" w:rsidRDefault="00DE34F4" w:rsidP="008D6A18">
            <w:pPr>
              <w:pStyle w:val="NoSpacing"/>
              <w:rPr>
                <w:rFonts w:ascii="Arial" w:hAnsi="Arial" w:cs="Arial"/>
              </w:rPr>
            </w:pPr>
          </w:p>
        </w:tc>
      </w:tr>
      <w:tr w:rsidR="00DE34F4" w14:paraId="49DD8C68" w14:textId="77777777" w:rsidTr="00C738A8">
        <w:tc>
          <w:tcPr>
            <w:tcW w:w="567" w:type="dxa"/>
          </w:tcPr>
          <w:p w14:paraId="416AF646" w14:textId="77777777" w:rsidR="00DE34F4" w:rsidRDefault="00DE34F4" w:rsidP="00C738A8">
            <w:pPr>
              <w:pStyle w:val="NoSpacing"/>
              <w:rPr>
                <w:rFonts w:ascii="Arial" w:hAnsi="Arial" w:cs="Arial"/>
              </w:rPr>
            </w:pPr>
            <w:r>
              <w:rPr>
                <w:rFonts w:ascii="Arial" w:hAnsi="Arial" w:cs="Arial"/>
              </w:rPr>
              <w:t>1.2</w:t>
            </w:r>
          </w:p>
        </w:tc>
        <w:tc>
          <w:tcPr>
            <w:tcW w:w="7655" w:type="dxa"/>
          </w:tcPr>
          <w:p w14:paraId="3F76B199" w14:textId="77777777" w:rsidR="00DE34F4" w:rsidRPr="0019115F" w:rsidRDefault="00DE34F4" w:rsidP="008D6A18">
            <w:pPr>
              <w:pStyle w:val="NoSpacing"/>
              <w:rPr>
                <w:rFonts w:ascii="Arial" w:hAnsi="Arial" w:cs="Arial"/>
              </w:rPr>
            </w:pPr>
            <w:r w:rsidRPr="0019115F">
              <w:rPr>
                <w:rFonts w:ascii="Arial" w:hAnsi="Arial" w:cs="Arial"/>
              </w:rPr>
              <w:t>All Service Departments individually have the responsibility to recover the debt owed, and this policy should be adhered to by all departments when dealing with Sundry Debt.</w:t>
            </w:r>
          </w:p>
          <w:p w14:paraId="47881013" w14:textId="77777777" w:rsidR="00DE34F4" w:rsidRDefault="00DE34F4" w:rsidP="008D6A18">
            <w:pPr>
              <w:pStyle w:val="NoSpacing"/>
              <w:rPr>
                <w:rFonts w:ascii="Arial" w:hAnsi="Arial" w:cs="Arial"/>
              </w:rPr>
            </w:pPr>
          </w:p>
        </w:tc>
      </w:tr>
    </w:tbl>
    <w:p w14:paraId="53605403" w14:textId="77777777" w:rsidR="00DE34F4" w:rsidRDefault="00DE34F4" w:rsidP="00DE34F4">
      <w:r>
        <w:br w:type="page"/>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7672"/>
      </w:tblGrid>
      <w:tr w:rsidR="00DE34F4" w14:paraId="6B93046A" w14:textId="77777777" w:rsidTr="00C738A8">
        <w:tc>
          <w:tcPr>
            <w:tcW w:w="550" w:type="dxa"/>
          </w:tcPr>
          <w:p w14:paraId="3183D5F3" w14:textId="77777777" w:rsidR="00DE34F4" w:rsidRPr="00AA02C3" w:rsidRDefault="00DE34F4" w:rsidP="00C738A8">
            <w:pPr>
              <w:pStyle w:val="NoSpacing"/>
              <w:tabs>
                <w:tab w:val="left" w:pos="1046"/>
              </w:tabs>
              <w:rPr>
                <w:rFonts w:ascii="Arial" w:hAnsi="Arial" w:cs="Arial"/>
                <w:b/>
                <w:bCs/>
              </w:rPr>
            </w:pPr>
            <w:r w:rsidRPr="00AA02C3">
              <w:rPr>
                <w:rFonts w:ascii="Arial" w:hAnsi="Arial" w:cs="Arial"/>
                <w:b/>
                <w:bCs/>
              </w:rPr>
              <w:lastRenderedPageBreak/>
              <w:t>2.</w:t>
            </w:r>
          </w:p>
        </w:tc>
        <w:tc>
          <w:tcPr>
            <w:tcW w:w="7672" w:type="dxa"/>
          </w:tcPr>
          <w:p w14:paraId="29B3A378" w14:textId="77777777" w:rsidR="00DE34F4" w:rsidRPr="00AA02C3" w:rsidRDefault="00DE34F4" w:rsidP="00C738A8">
            <w:pPr>
              <w:pStyle w:val="NoSpacing"/>
              <w:tabs>
                <w:tab w:val="left" w:pos="1046"/>
              </w:tabs>
              <w:rPr>
                <w:rFonts w:ascii="Arial" w:hAnsi="Arial" w:cs="Arial"/>
                <w:b/>
                <w:bCs/>
                <w:u w:val="single"/>
              </w:rPr>
            </w:pPr>
            <w:r w:rsidRPr="00AA02C3">
              <w:rPr>
                <w:rFonts w:ascii="Arial" w:hAnsi="Arial" w:cs="Arial"/>
                <w:b/>
                <w:bCs/>
                <w:u w:val="single"/>
              </w:rPr>
              <w:t>ISSUING ACCOUNTS</w:t>
            </w:r>
          </w:p>
        </w:tc>
      </w:tr>
      <w:tr w:rsidR="00DE34F4" w14:paraId="645D8BF1" w14:textId="77777777" w:rsidTr="00C738A8">
        <w:tc>
          <w:tcPr>
            <w:tcW w:w="550" w:type="dxa"/>
          </w:tcPr>
          <w:p w14:paraId="021D3DD7" w14:textId="77777777" w:rsidR="00DE34F4" w:rsidRPr="00AA02C3" w:rsidRDefault="00DE34F4" w:rsidP="00C738A8">
            <w:pPr>
              <w:pStyle w:val="NoSpacing"/>
              <w:tabs>
                <w:tab w:val="left" w:pos="1046"/>
              </w:tabs>
              <w:rPr>
                <w:rFonts w:ascii="Arial" w:hAnsi="Arial" w:cs="Arial"/>
              </w:rPr>
            </w:pPr>
          </w:p>
        </w:tc>
        <w:tc>
          <w:tcPr>
            <w:tcW w:w="7672" w:type="dxa"/>
          </w:tcPr>
          <w:p w14:paraId="36DA00CD" w14:textId="77777777" w:rsidR="00DE34F4" w:rsidRPr="00AA02C3" w:rsidRDefault="00DE34F4" w:rsidP="00C738A8">
            <w:pPr>
              <w:pStyle w:val="NoSpacing"/>
              <w:tabs>
                <w:tab w:val="left" w:pos="1046"/>
              </w:tabs>
              <w:rPr>
                <w:rFonts w:ascii="Arial" w:hAnsi="Arial" w:cs="Arial"/>
              </w:rPr>
            </w:pPr>
          </w:p>
        </w:tc>
      </w:tr>
      <w:tr w:rsidR="00DE34F4" w14:paraId="69B67DC3" w14:textId="77777777" w:rsidTr="00C738A8">
        <w:tc>
          <w:tcPr>
            <w:tcW w:w="550" w:type="dxa"/>
          </w:tcPr>
          <w:p w14:paraId="73CE9ABA" w14:textId="77777777" w:rsidR="00DE34F4" w:rsidRPr="00AA02C3" w:rsidRDefault="00DE34F4" w:rsidP="008D6A18">
            <w:pPr>
              <w:pStyle w:val="NoSpacing"/>
              <w:tabs>
                <w:tab w:val="left" w:pos="1046"/>
              </w:tabs>
              <w:rPr>
                <w:rFonts w:ascii="Arial" w:hAnsi="Arial" w:cs="Arial"/>
              </w:rPr>
            </w:pPr>
            <w:r>
              <w:rPr>
                <w:rFonts w:ascii="Arial" w:hAnsi="Arial" w:cs="Arial"/>
              </w:rPr>
              <w:t>2.1</w:t>
            </w:r>
          </w:p>
        </w:tc>
        <w:tc>
          <w:tcPr>
            <w:tcW w:w="7672" w:type="dxa"/>
          </w:tcPr>
          <w:p w14:paraId="5812CD47" w14:textId="476C380C" w:rsidR="00DE34F4" w:rsidRPr="00FE3112" w:rsidRDefault="00DE34F4" w:rsidP="008D6A18">
            <w:pPr>
              <w:pStyle w:val="NoSpacing"/>
              <w:rPr>
                <w:rFonts w:cs="Arial"/>
              </w:rPr>
            </w:pPr>
            <w:r w:rsidRPr="00AA02C3">
              <w:rPr>
                <w:rFonts w:ascii="Arial" w:hAnsi="Arial" w:cs="Arial"/>
              </w:rPr>
              <w:t xml:space="preserve">Where possible, </w:t>
            </w:r>
            <w:r>
              <w:rPr>
                <w:rFonts w:ascii="Arial" w:hAnsi="Arial" w:cs="Arial"/>
              </w:rPr>
              <w:t xml:space="preserve">service departments should request payment in advance of the service being paid for or give the option of </w:t>
            </w:r>
            <w:r w:rsidRPr="00AA02C3">
              <w:rPr>
                <w:rFonts w:ascii="Arial" w:hAnsi="Arial" w:cs="Arial"/>
              </w:rPr>
              <w:t xml:space="preserve">payment in advance of service </w:t>
            </w:r>
            <w:r>
              <w:rPr>
                <w:rFonts w:ascii="Arial" w:hAnsi="Arial" w:cs="Arial"/>
              </w:rPr>
              <w:t xml:space="preserve">delivery and </w:t>
            </w:r>
            <w:r w:rsidRPr="00AA02C3">
              <w:rPr>
                <w:rFonts w:ascii="Arial" w:hAnsi="Arial" w:cs="Arial"/>
              </w:rPr>
              <w:t xml:space="preserve">actively encourage </w:t>
            </w:r>
            <w:r>
              <w:rPr>
                <w:rFonts w:ascii="Arial" w:hAnsi="Arial" w:cs="Arial"/>
              </w:rPr>
              <w:t>this option to be taken up</w:t>
            </w:r>
            <w:r w:rsidRPr="00AA02C3">
              <w:rPr>
                <w:rFonts w:ascii="Arial" w:hAnsi="Arial" w:cs="Arial"/>
              </w:rPr>
              <w:t>.</w:t>
            </w:r>
            <w:r w:rsidRPr="00AA02C3" w:rsidDel="00967505">
              <w:rPr>
                <w:rFonts w:ascii="Arial" w:hAnsi="Arial" w:cs="Arial"/>
              </w:rPr>
              <w:t xml:space="preserve"> </w:t>
            </w:r>
          </w:p>
          <w:p w14:paraId="6459F26F" w14:textId="77777777" w:rsidR="00DE34F4" w:rsidRPr="00D6448E" w:rsidRDefault="00DE34F4" w:rsidP="008D6A18">
            <w:pPr>
              <w:pStyle w:val="ABCLevel1"/>
              <w:tabs>
                <w:tab w:val="clear" w:pos="720"/>
              </w:tabs>
              <w:ind w:left="0" w:firstLine="0"/>
              <w:jc w:val="left"/>
              <w:rPr>
                <w:rFonts w:cs="Arial"/>
              </w:rPr>
            </w:pPr>
          </w:p>
        </w:tc>
      </w:tr>
      <w:tr w:rsidR="00DE34F4" w14:paraId="43819E38" w14:textId="77777777" w:rsidTr="00C738A8">
        <w:tc>
          <w:tcPr>
            <w:tcW w:w="550" w:type="dxa"/>
          </w:tcPr>
          <w:p w14:paraId="1903A232" w14:textId="77777777" w:rsidR="00DE34F4" w:rsidRPr="00AA02C3" w:rsidRDefault="00DE34F4" w:rsidP="008D6A18">
            <w:pPr>
              <w:pStyle w:val="NoSpacing"/>
              <w:tabs>
                <w:tab w:val="left" w:pos="1046"/>
              </w:tabs>
              <w:rPr>
                <w:rFonts w:ascii="Arial" w:hAnsi="Arial" w:cs="Arial"/>
              </w:rPr>
            </w:pPr>
            <w:r>
              <w:rPr>
                <w:rFonts w:ascii="Arial" w:hAnsi="Arial" w:cs="Arial"/>
              </w:rPr>
              <w:t>2.2</w:t>
            </w:r>
          </w:p>
        </w:tc>
        <w:tc>
          <w:tcPr>
            <w:tcW w:w="7672" w:type="dxa"/>
          </w:tcPr>
          <w:p w14:paraId="3B721169" w14:textId="77777777" w:rsidR="00DE34F4" w:rsidRPr="00FE3112" w:rsidRDefault="00DE34F4" w:rsidP="008D6A18">
            <w:pPr>
              <w:pStyle w:val="NoSpacing"/>
              <w:rPr>
                <w:rFonts w:cs="Arial"/>
              </w:rPr>
            </w:pPr>
            <w:r>
              <w:rPr>
                <w:rFonts w:ascii="Arial" w:hAnsi="Arial" w:cs="Arial"/>
              </w:rPr>
              <w:t xml:space="preserve">Departments </w:t>
            </w:r>
            <w:r w:rsidRPr="00AA02C3">
              <w:rPr>
                <w:rFonts w:ascii="Arial" w:hAnsi="Arial" w:cs="Arial"/>
              </w:rPr>
              <w:t xml:space="preserve">should only </w:t>
            </w:r>
            <w:r>
              <w:rPr>
                <w:rFonts w:ascii="Arial" w:hAnsi="Arial" w:cs="Arial"/>
              </w:rPr>
              <w:t>issue invoices</w:t>
            </w:r>
            <w:r w:rsidRPr="00AA02C3">
              <w:rPr>
                <w:rFonts w:ascii="Arial" w:hAnsi="Arial" w:cs="Arial"/>
              </w:rPr>
              <w:t xml:space="preserve"> for sums that are considered </w:t>
            </w:r>
            <w:r w:rsidRPr="00AA02C3">
              <w:rPr>
                <w:rFonts w:ascii="Arial" w:hAnsi="Arial" w:cs="Arial"/>
                <w:bCs/>
              </w:rPr>
              <w:t>economical to pursue.</w:t>
            </w:r>
            <w:r w:rsidRPr="00AA02C3">
              <w:rPr>
                <w:rFonts w:ascii="Arial" w:hAnsi="Arial" w:cs="Arial"/>
                <w:b/>
              </w:rPr>
              <w:t xml:space="preserve">  </w:t>
            </w:r>
            <w:r w:rsidRPr="00AA02C3">
              <w:rPr>
                <w:rFonts w:ascii="Arial" w:hAnsi="Arial" w:cs="Arial"/>
              </w:rPr>
              <w:t xml:space="preserve">By way of general guidance, </w:t>
            </w:r>
            <w:r>
              <w:rPr>
                <w:rFonts w:ascii="Arial" w:hAnsi="Arial" w:cs="Arial"/>
              </w:rPr>
              <w:t xml:space="preserve">departments should not raise </w:t>
            </w:r>
            <w:r w:rsidRPr="00AA02C3">
              <w:rPr>
                <w:rFonts w:ascii="Arial" w:hAnsi="Arial" w:cs="Arial"/>
              </w:rPr>
              <w:t>invoices for sums below £15 and staff should have due regard that sums below £250 are not considered economical to pursue via legal action.</w:t>
            </w:r>
          </w:p>
          <w:p w14:paraId="2212BA4B" w14:textId="77777777" w:rsidR="00DE34F4" w:rsidRPr="00AA02C3" w:rsidRDefault="00DE34F4" w:rsidP="008D6A18">
            <w:pPr>
              <w:pStyle w:val="NoSpacing"/>
              <w:rPr>
                <w:rFonts w:ascii="Arial" w:hAnsi="Arial" w:cs="Arial"/>
              </w:rPr>
            </w:pPr>
          </w:p>
        </w:tc>
      </w:tr>
      <w:tr w:rsidR="00DE34F4" w14:paraId="7AB74BA0" w14:textId="77777777" w:rsidTr="00C738A8">
        <w:tc>
          <w:tcPr>
            <w:tcW w:w="550" w:type="dxa"/>
          </w:tcPr>
          <w:p w14:paraId="5E9FB56A" w14:textId="77777777" w:rsidR="00DE34F4" w:rsidRPr="00AA02C3" w:rsidRDefault="00DE34F4" w:rsidP="008D6A18">
            <w:pPr>
              <w:pStyle w:val="NoSpacing"/>
              <w:tabs>
                <w:tab w:val="left" w:pos="1046"/>
              </w:tabs>
              <w:rPr>
                <w:rFonts w:ascii="Arial" w:hAnsi="Arial" w:cs="Arial"/>
              </w:rPr>
            </w:pPr>
          </w:p>
        </w:tc>
        <w:tc>
          <w:tcPr>
            <w:tcW w:w="7672" w:type="dxa"/>
          </w:tcPr>
          <w:p w14:paraId="2FFF9301" w14:textId="77777777" w:rsidR="00DE34F4" w:rsidRPr="00FE3112" w:rsidRDefault="00DE34F4" w:rsidP="008D6A18">
            <w:pPr>
              <w:pStyle w:val="NoSpacing"/>
              <w:rPr>
                <w:rFonts w:cs="Arial"/>
              </w:rPr>
            </w:pPr>
          </w:p>
        </w:tc>
      </w:tr>
      <w:tr w:rsidR="00DE34F4" w14:paraId="506CB824" w14:textId="77777777" w:rsidTr="00C738A8">
        <w:tc>
          <w:tcPr>
            <w:tcW w:w="550" w:type="dxa"/>
          </w:tcPr>
          <w:p w14:paraId="64DD3727" w14:textId="77777777" w:rsidR="00DE34F4" w:rsidRPr="00AA02C3" w:rsidRDefault="00DE34F4" w:rsidP="008D6A18">
            <w:pPr>
              <w:pStyle w:val="NoSpacing"/>
              <w:tabs>
                <w:tab w:val="left" w:pos="1046"/>
              </w:tabs>
              <w:rPr>
                <w:rFonts w:ascii="Arial" w:hAnsi="Arial" w:cs="Arial"/>
              </w:rPr>
            </w:pPr>
            <w:r>
              <w:rPr>
                <w:rFonts w:ascii="Arial" w:hAnsi="Arial" w:cs="Arial"/>
              </w:rPr>
              <w:t>2.3</w:t>
            </w:r>
          </w:p>
        </w:tc>
        <w:tc>
          <w:tcPr>
            <w:tcW w:w="7672" w:type="dxa"/>
          </w:tcPr>
          <w:p w14:paraId="1599C117" w14:textId="1DAEF2A9" w:rsidR="00DE34F4" w:rsidRPr="00FE3112" w:rsidRDefault="00DE34F4" w:rsidP="008D6A18">
            <w:pPr>
              <w:pStyle w:val="NoSpacing"/>
              <w:rPr>
                <w:rFonts w:cs="Arial"/>
              </w:rPr>
            </w:pPr>
            <w:r w:rsidRPr="00AA02C3">
              <w:rPr>
                <w:rFonts w:ascii="Arial" w:hAnsi="Arial" w:cs="Arial"/>
              </w:rPr>
              <w:t>Before providing a service</w:t>
            </w:r>
            <w:r>
              <w:rPr>
                <w:rFonts w:ascii="Arial" w:hAnsi="Arial" w:cs="Arial"/>
              </w:rPr>
              <w:t xml:space="preserve"> or </w:t>
            </w:r>
            <w:r w:rsidRPr="00AA02C3">
              <w:rPr>
                <w:rFonts w:ascii="Arial" w:hAnsi="Arial" w:cs="Arial"/>
              </w:rPr>
              <w:t>work</w:t>
            </w:r>
            <w:r>
              <w:rPr>
                <w:rFonts w:ascii="Arial" w:hAnsi="Arial" w:cs="Arial"/>
              </w:rPr>
              <w:t xml:space="preserve"> which is to be invoiced</w:t>
            </w:r>
            <w:r w:rsidRPr="00AA02C3">
              <w:rPr>
                <w:rFonts w:ascii="Arial" w:hAnsi="Arial" w:cs="Arial"/>
              </w:rPr>
              <w:t xml:space="preserve">, </w:t>
            </w:r>
            <w:r>
              <w:rPr>
                <w:rFonts w:ascii="Arial" w:hAnsi="Arial" w:cs="Arial"/>
              </w:rPr>
              <w:t xml:space="preserve">departments should </w:t>
            </w:r>
            <w:r w:rsidRPr="00AA02C3">
              <w:rPr>
                <w:rFonts w:ascii="Arial" w:hAnsi="Arial" w:cs="Arial"/>
              </w:rPr>
              <w:t xml:space="preserve">check the Accounts Receivable system to see if there are currently any outstanding invoices for that customer.  </w:t>
            </w:r>
            <w:r>
              <w:rPr>
                <w:rFonts w:ascii="Arial" w:hAnsi="Arial" w:cs="Arial"/>
              </w:rPr>
              <w:t>Departments</w:t>
            </w:r>
            <w:r w:rsidRPr="00AA02C3">
              <w:rPr>
                <w:rFonts w:ascii="Arial" w:hAnsi="Arial" w:cs="Arial"/>
              </w:rPr>
              <w:t xml:space="preserve"> should seek to avoid adding to existing debt where customers have old debt.</w:t>
            </w:r>
          </w:p>
          <w:p w14:paraId="469154BD" w14:textId="77777777" w:rsidR="00DE34F4" w:rsidRPr="00AA02C3" w:rsidRDefault="00DE34F4" w:rsidP="008D6A18">
            <w:pPr>
              <w:pStyle w:val="NoSpacing"/>
              <w:rPr>
                <w:rFonts w:ascii="Arial" w:hAnsi="Arial" w:cs="Arial"/>
              </w:rPr>
            </w:pPr>
          </w:p>
        </w:tc>
      </w:tr>
      <w:tr w:rsidR="00DE34F4" w14:paraId="1C18A2DC" w14:textId="77777777" w:rsidTr="00C738A8">
        <w:tc>
          <w:tcPr>
            <w:tcW w:w="550" w:type="dxa"/>
          </w:tcPr>
          <w:p w14:paraId="75E122FA" w14:textId="77777777" w:rsidR="00DE34F4" w:rsidRPr="00AA02C3" w:rsidRDefault="00DE34F4" w:rsidP="008D6A18">
            <w:pPr>
              <w:pStyle w:val="NoSpacing"/>
              <w:tabs>
                <w:tab w:val="left" w:pos="1046"/>
              </w:tabs>
              <w:rPr>
                <w:rFonts w:ascii="Arial" w:hAnsi="Arial" w:cs="Arial"/>
              </w:rPr>
            </w:pPr>
          </w:p>
        </w:tc>
        <w:tc>
          <w:tcPr>
            <w:tcW w:w="7672" w:type="dxa"/>
          </w:tcPr>
          <w:p w14:paraId="5907D238" w14:textId="77777777" w:rsidR="00DE34F4" w:rsidRPr="00FE3112" w:rsidRDefault="00DE34F4" w:rsidP="008D6A18">
            <w:pPr>
              <w:pStyle w:val="NoSpacing"/>
              <w:rPr>
                <w:rFonts w:cs="Arial"/>
              </w:rPr>
            </w:pPr>
          </w:p>
        </w:tc>
      </w:tr>
      <w:tr w:rsidR="00DE34F4" w14:paraId="2C34C54E" w14:textId="77777777" w:rsidTr="00C738A8">
        <w:tc>
          <w:tcPr>
            <w:tcW w:w="550" w:type="dxa"/>
          </w:tcPr>
          <w:p w14:paraId="782C96B4" w14:textId="77777777" w:rsidR="00DE34F4" w:rsidRPr="00AA02C3" w:rsidRDefault="00DE34F4" w:rsidP="008D6A18">
            <w:pPr>
              <w:pStyle w:val="NoSpacing"/>
              <w:tabs>
                <w:tab w:val="left" w:pos="1046"/>
              </w:tabs>
              <w:rPr>
                <w:rFonts w:ascii="Arial" w:hAnsi="Arial" w:cs="Arial"/>
              </w:rPr>
            </w:pPr>
            <w:r>
              <w:rPr>
                <w:rFonts w:ascii="Arial" w:hAnsi="Arial" w:cs="Arial"/>
              </w:rPr>
              <w:t>2.4</w:t>
            </w:r>
          </w:p>
        </w:tc>
        <w:tc>
          <w:tcPr>
            <w:tcW w:w="7672" w:type="dxa"/>
          </w:tcPr>
          <w:p w14:paraId="619E6DDA" w14:textId="77777777" w:rsidR="00DE34F4" w:rsidRPr="00FE3112" w:rsidRDefault="00DE34F4" w:rsidP="008D6A18">
            <w:pPr>
              <w:pStyle w:val="NoSpacing"/>
              <w:rPr>
                <w:rFonts w:cs="Arial"/>
              </w:rPr>
            </w:pPr>
            <w:r>
              <w:rPr>
                <w:rFonts w:ascii="Arial" w:hAnsi="Arial" w:cs="Arial"/>
              </w:rPr>
              <w:t>Departments should</w:t>
            </w:r>
            <w:r w:rsidRPr="00AA02C3">
              <w:rPr>
                <w:rFonts w:ascii="Arial" w:hAnsi="Arial" w:cs="Arial"/>
              </w:rPr>
              <w:t xml:space="preserve"> issue </w:t>
            </w:r>
            <w:r>
              <w:rPr>
                <w:rFonts w:ascii="Arial" w:hAnsi="Arial" w:cs="Arial"/>
              </w:rPr>
              <w:t xml:space="preserve">invoices </w:t>
            </w:r>
            <w:r w:rsidRPr="00AA02C3">
              <w:rPr>
                <w:rFonts w:ascii="Arial" w:hAnsi="Arial" w:cs="Arial"/>
                <w:bCs/>
              </w:rPr>
              <w:t>promptly</w:t>
            </w:r>
            <w:r w:rsidRPr="00AA02C3">
              <w:rPr>
                <w:rFonts w:ascii="Arial" w:hAnsi="Arial" w:cs="Arial"/>
              </w:rPr>
              <w:t>, either in advance or within a short time (maximum of 30 days) of the service being provided, to ensure compliance with VAT Regulations.   Issue of invoices should be digital by default.</w:t>
            </w:r>
          </w:p>
          <w:p w14:paraId="15E924C8" w14:textId="77777777" w:rsidR="00DE34F4" w:rsidRPr="00AA02C3" w:rsidRDefault="00DE34F4" w:rsidP="008D6A18">
            <w:pPr>
              <w:pStyle w:val="NoSpacing"/>
              <w:rPr>
                <w:rFonts w:ascii="Arial" w:hAnsi="Arial" w:cs="Arial"/>
              </w:rPr>
            </w:pPr>
          </w:p>
        </w:tc>
      </w:tr>
    </w:tbl>
    <w:p w14:paraId="7F820119" w14:textId="77777777" w:rsidR="00DE34F4" w:rsidRDefault="00DE34F4" w:rsidP="008D6A18">
      <w:pPr>
        <w:pStyle w:val="NoSpacing"/>
        <w:tabs>
          <w:tab w:val="left" w:pos="1046"/>
        </w:tabs>
      </w:pPr>
    </w:p>
    <w:p w14:paraId="39710C07" w14:textId="77777777" w:rsidR="00DE34F4" w:rsidRDefault="00DE34F4" w:rsidP="00DE34F4">
      <w:r>
        <w:br w:type="page"/>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472"/>
      </w:tblGrid>
      <w:tr w:rsidR="00DE34F4" w:rsidRPr="00F448BD" w14:paraId="2083A8CF" w14:textId="77777777" w:rsidTr="00C738A8">
        <w:tc>
          <w:tcPr>
            <w:tcW w:w="750" w:type="dxa"/>
          </w:tcPr>
          <w:p w14:paraId="40E72A68" w14:textId="77777777" w:rsidR="00DE34F4" w:rsidRPr="00AA02C3" w:rsidRDefault="00DE34F4" w:rsidP="00C738A8">
            <w:pPr>
              <w:pStyle w:val="NoSpacing"/>
              <w:rPr>
                <w:rFonts w:ascii="Arial" w:hAnsi="Arial" w:cs="Arial"/>
                <w:b/>
                <w:bCs/>
              </w:rPr>
            </w:pPr>
            <w:r w:rsidRPr="00AA02C3">
              <w:rPr>
                <w:rFonts w:ascii="Arial" w:hAnsi="Arial" w:cs="Arial"/>
                <w:b/>
                <w:bCs/>
              </w:rPr>
              <w:lastRenderedPageBreak/>
              <w:t>3.</w:t>
            </w:r>
          </w:p>
        </w:tc>
        <w:tc>
          <w:tcPr>
            <w:tcW w:w="7472" w:type="dxa"/>
          </w:tcPr>
          <w:p w14:paraId="7F52A4A7" w14:textId="77777777" w:rsidR="00DE34F4" w:rsidRPr="00AA02C3" w:rsidRDefault="00DE34F4" w:rsidP="00C738A8">
            <w:pPr>
              <w:pStyle w:val="NoSpacing"/>
              <w:rPr>
                <w:rFonts w:ascii="Arial" w:hAnsi="Arial" w:cs="Arial"/>
                <w:b/>
                <w:bCs/>
                <w:u w:val="single"/>
              </w:rPr>
            </w:pPr>
            <w:r w:rsidRPr="00AA02C3">
              <w:rPr>
                <w:rFonts w:ascii="Arial" w:hAnsi="Arial" w:cs="Arial"/>
                <w:b/>
                <w:bCs/>
                <w:u w:val="single"/>
              </w:rPr>
              <w:t>FOLLOW UP</w:t>
            </w:r>
          </w:p>
        </w:tc>
      </w:tr>
      <w:tr w:rsidR="00DE34F4" w:rsidRPr="00F448BD" w14:paraId="37432990" w14:textId="77777777" w:rsidTr="00C738A8">
        <w:tc>
          <w:tcPr>
            <w:tcW w:w="750" w:type="dxa"/>
          </w:tcPr>
          <w:p w14:paraId="75EFD6B3" w14:textId="77777777" w:rsidR="00DE34F4" w:rsidRPr="00AA02C3" w:rsidRDefault="00DE34F4" w:rsidP="00C738A8">
            <w:pPr>
              <w:pStyle w:val="NoSpacing"/>
              <w:rPr>
                <w:rFonts w:ascii="Arial" w:hAnsi="Arial" w:cs="Arial"/>
              </w:rPr>
            </w:pPr>
          </w:p>
        </w:tc>
        <w:tc>
          <w:tcPr>
            <w:tcW w:w="7472" w:type="dxa"/>
          </w:tcPr>
          <w:p w14:paraId="0D0C9880" w14:textId="77777777" w:rsidR="00DE34F4" w:rsidRPr="00AA02C3" w:rsidRDefault="00DE34F4" w:rsidP="00C738A8">
            <w:pPr>
              <w:pStyle w:val="NoSpacing"/>
              <w:rPr>
                <w:rFonts w:ascii="Arial" w:hAnsi="Arial" w:cs="Arial"/>
              </w:rPr>
            </w:pPr>
          </w:p>
        </w:tc>
      </w:tr>
      <w:tr w:rsidR="00DE34F4" w:rsidRPr="00F448BD" w14:paraId="25D737A9" w14:textId="77777777" w:rsidTr="00C738A8">
        <w:tc>
          <w:tcPr>
            <w:tcW w:w="750" w:type="dxa"/>
          </w:tcPr>
          <w:p w14:paraId="269E4298" w14:textId="77777777" w:rsidR="00DE34F4" w:rsidRPr="00AA02C3" w:rsidRDefault="00DE34F4" w:rsidP="00C738A8">
            <w:pPr>
              <w:pStyle w:val="NoSpacing"/>
              <w:rPr>
                <w:rFonts w:ascii="Arial" w:hAnsi="Arial" w:cs="Arial"/>
                <w:b/>
                <w:bCs/>
              </w:rPr>
            </w:pPr>
          </w:p>
        </w:tc>
        <w:tc>
          <w:tcPr>
            <w:tcW w:w="7472" w:type="dxa"/>
          </w:tcPr>
          <w:p w14:paraId="206D8D6C" w14:textId="77777777" w:rsidR="00DE34F4" w:rsidRPr="00AA02C3" w:rsidRDefault="00DE34F4" w:rsidP="008D6A18">
            <w:pPr>
              <w:pStyle w:val="NoSpacing"/>
              <w:rPr>
                <w:rFonts w:ascii="Arial" w:hAnsi="Arial" w:cs="Arial"/>
              </w:rPr>
            </w:pPr>
            <w:r w:rsidRPr="00AA02C3">
              <w:rPr>
                <w:rFonts w:ascii="Arial" w:hAnsi="Arial" w:cs="Arial"/>
                <w:b/>
                <w:bCs/>
              </w:rPr>
              <w:t xml:space="preserve">Payment Policy </w:t>
            </w:r>
          </w:p>
        </w:tc>
      </w:tr>
      <w:tr w:rsidR="00DE34F4" w:rsidRPr="00F448BD" w14:paraId="1B31F4EC" w14:textId="77777777" w:rsidTr="00C738A8">
        <w:tc>
          <w:tcPr>
            <w:tcW w:w="750" w:type="dxa"/>
          </w:tcPr>
          <w:p w14:paraId="4C7F168D" w14:textId="77777777" w:rsidR="00DE34F4" w:rsidRPr="00521DFF" w:rsidRDefault="00DE34F4" w:rsidP="00C738A8">
            <w:pPr>
              <w:pStyle w:val="NoSpacing"/>
              <w:rPr>
                <w:rFonts w:ascii="Arial" w:hAnsi="Arial" w:cs="Arial"/>
              </w:rPr>
            </w:pPr>
            <w:r w:rsidRPr="00521DFF">
              <w:rPr>
                <w:rFonts w:ascii="Arial" w:hAnsi="Arial" w:cs="Arial"/>
              </w:rPr>
              <w:t>3.1</w:t>
            </w:r>
          </w:p>
        </w:tc>
        <w:tc>
          <w:tcPr>
            <w:tcW w:w="7472" w:type="dxa"/>
          </w:tcPr>
          <w:p w14:paraId="4290F5FD" w14:textId="77777777" w:rsidR="00DE34F4" w:rsidRPr="00F448BD" w:rsidRDefault="00DE34F4" w:rsidP="008D6A18">
            <w:pPr>
              <w:pStyle w:val="NoSpacing"/>
              <w:rPr>
                <w:rFonts w:cs="Arial"/>
              </w:rPr>
            </w:pPr>
            <w:r w:rsidRPr="00F448BD">
              <w:rPr>
                <w:rFonts w:ascii="Arial" w:hAnsi="Arial" w:cs="Arial"/>
              </w:rPr>
              <w:t xml:space="preserve">The </w:t>
            </w:r>
            <w:r>
              <w:rPr>
                <w:rFonts w:ascii="Arial" w:hAnsi="Arial" w:cs="Arial"/>
              </w:rPr>
              <w:t xml:space="preserve">Council’s </w:t>
            </w:r>
            <w:r w:rsidRPr="00F448BD">
              <w:rPr>
                <w:rFonts w:ascii="Arial" w:hAnsi="Arial" w:cs="Arial"/>
              </w:rPr>
              <w:t xml:space="preserve">policy, as stated on the invoice, is that payment is due on the date of issue. </w:t>
            </w:r>
            <w:r>
              <w:rPr>
                <w:rFonts w:ascii="Arial" w:hAnsi="Arial" w:cs="Arial"/>
              </w:rPr>
              <w:t xml:space="preserve"> </w:t>
            </w:r>
            <w:r w:rsidRPr="00F448BD">
              <w:rPr>
                <w:rFonts w:ascii="Arial" w:hAnsi="Arial" w:cs="Arial"/>
              </w:rPr>
              <w:t>However</w:t>
            </w:r>
            <w:r>
              <w:rPr>
                <w:rFonts w:ascii="Arial" w:hAnsi="Arial" w:cs="Arial"/>
              </w:rPr>
              <w:t>,</w:t>
            </w:r>
            <w:r w:rsidRPr="00F448BD">
              <w:rPr>
                <w:rFonts w:ascii="Arial" w:hAnsi="Arial" w:cs="Arial"/>
              </w:rPr>
              <w:t xml:space="preserve"> </w:t>
            </w:r>
            <w:r>
              <w:rPr>
                <w:rFonts w:ascii="Arial" w:hAnsi="Arial" w:cs="Arial"/>
              </w:rPr>
              <w:t xml:space="preserve">the Council will give </w:t>
            </w:r>
            <w:r w:rsidRPr="00F448BD">
              <w:rPr>
                <w:rFonts w:ascii="Arial" w:hAnsi="Arial" w:cs="Arial"/>
              </w:rPr>
              <w:t xml:space="preserve">debtors </w:t>
            </w:r>
            <w:r>
              <w:rPr>
                <w:rFonts w:ascii="Arial" w:hAnsi="Arial" w:cs="Arial"/>
              </w:rPr>
              <w:t>a</w:t>
            </w:r>
            <w:r w:rsidRPr="00F448BD">
              <w:rPr>
                <w:rFonts w:ascii="Arial" w:hAnsi="Arial" w:cs="Arial"/>
              </w:rPr>
              <w:t xml:space="preserve"> reasonable time to make payment.  </w:t>
            </w:r>
          </w:p>
          <w:p w14:paraId="4E39D1C9" w14:textId="77777777" w:rsidR="00DE34F4" w:rsidRPr="00AA02C3" w:rsidRDefault="00DE34F4" w:rsidP="008D6A18">
            <w:pPr>
              <w:pStyle w:val="NoSpacing"/>
              <w:rPr>
                <w:rFonts w:ascii="Arial" w:hAnsi="Arial" w:cs="Arial"/>
              </w:rPr>
            </w:pPr>
          </w:p>
        </w:tc>
      </w:tr>
      <w:tr w:rsidR="00DE34F4" w:rsidRPr="00F448BD" w14:paraId="34F991A7" w14:textId="77777777" w:rsidTr="00C738A8">
        <w:tc>
          <w:tcPr>
            <w:tcW w:w="750" w:type="dxa"/>
          </w:tcPr>
          <w:p w14:paraId="668DC099" w14:textId="77777777" w:rsidR="00DE34F4" w:rsidRPr="00AA02C3" w:rsidRDefault="00DE34F4" w:rsidP="00C738A8">
            <w:pPr>
              <w:pStyle w:val="NoSpacing"/>
              <w:rPr>
                <w:rFonts w:ascii="Arial" w:hAnsi="Arial" w:cs="Arial"/>
              </w:rPr>
            </w:pPr>
          </w:p>
        </w:tc>
        <w:tc>
          <w:tcPr>
            <w:tcW w:w="7472" w:type="dxa"/>
          </w:tcPr>
          <w:p w14:paraId="672296A1" w14:textId="77777777" w:rsidR="00DE34F4" w:rsidRPr="00521DFF" w:rsidRDefault="00DE34F4" w:rsidP="008D6A18">
            <w:pPr>
              <w:pStyle w:val="NoSpacing"/>
              <w:rPr>
                <w:rFonts w:ascii="Arial" w:hAnsi="Arial" w:cs="Arial"/>
                <w:b/>
                <w:bCs/>
              </w:rPr>
            </w:pPr>
            <w:r>
              <w:rPr>
                <w:rFonts w:ascii="Arial" w:hAnsi="Arial" w:cs="Arial"/>
                <w:b/>
                <w:bCs/>
              </w:rPr>
              <w:t>Reminders - Standard Debt</w:t>
            </w:r>
          </w:p>
        </w:tc>
      </w:tr>
      <w:tr w:rsidR="00DE34F4" w:rsidRPr="00F448BD" w14:paraId="1445B200" w14:textId="77777777" w:rsidTr="00C738A8">
        <w:tc>
          <w:tcPr>
            <w:tcW w:w="750" w:type="dxa"/>
          </w:tcPr>
          <w:p w14:paraId="65559479" w14:textId="77777777" w:rsidR="00DE34F4" w:rsidRPr="00AA02C3" w:rsidRDefault="00DE34F4" w:rsidP="00C738A8">
            <w:pPr>
              <w:pStyle w:val="NoSpacing"/>
              <w:rPr>
                <w:rFonts w:ascii="Arial" w:hAnsi="Arial" w:cs="Arial"/>
              </w:rPr>
            </w:pPr>
            <w:r>
              <w:rPr>
                <w:rFonts w:ascii="Arial" w:hAnsi="Arial" w:cs="Arial"/>
              </w:rPr>
              <w:t>3.2</w:t>
            </w:r>
          </w:p>
        </w:tc>
        <w:tc>
          <w:tcPr>
            <w:tcW w:w="7472" w:type="dxa"/>
          </w:tcPr>
          <w:p w14:paraId="1F2DD9E0" w14:textId="77777777" w:rsidR="00DE34F4" w:rsidRPr="00F448BD" w:rsidRDefault="00DE34F4" w:rsidP="008D6A18">
            <w:pPr>
              <w:pStyle w:val="NoSpacing"/>
              <w:rPr>
                <w:rFonts w:cs="Arial"/>
              </w:rPr>
            </w:pPr>
            <w:r w:rsidRPr="00F448BD">
              <w:rPr>
                <w:rFonts w:ascii="Arial" w:hAnsi="Arial" w:cs="Arial"/>
              </w:rPr>
              <w:t xml:space="preserve">Where an account remains unpaid after 21 days, </w:t>
            </w:r>
            <w:r>
              <w:rPr>
                <w:rFonts w:ascii="Arial" w:hAnsi="Arial" w:cs="Arial"/>
              </w:rPr>
              <w:t xml:space="preserve">the Finance department will issue </w:t>
            </w:r>
            <w:r w:rsidRPr="00F448BD">
              <w:rPr>
                <w:rFonts w:ascii="Arial" w:hAnsi="Arial" w:cs="Arial"/>
              </w:rPr>
              <w:t>a</w:t>
            </w:r>
            <w:r w:rsidRPr="00F448BD">
              <w:rPr>
                <w:rFonts w:ascii="Arial" w:hAnsi="Arial" w:cs="Arial"/>
                <w:b/>
              </w:rPr>
              <w:t xml:space="preserve"> </w:t>
            </w:r>
            <w:r w:rsidRPr="00521DFF">
              <w:rPr>
                <w:rFonts w:ascii="Arial" w:hAnsi="Arial" w:cs="Arial"/>
                <w:bCs/>
              </w:rPr>
              <w:t>first reminder</w:t>
            </w:r>
            <w:r>
              <w:rPr>
                <w:rFonts w:ascii="Arial" w:hAnsi="Arial" w:cs="Arial"/>
                <w:b/>
              </w:rPr>
              <w:t xml:space="preserve"> </w:t>
            </w:r>
            <w:r w:rsidRPr="00521DFF">
              <w:rPr>
                <w:rFonts w:ascii="Arial" w:hAnsi="Arial" w:cs="Arial"/>
                <w:bCs/>
              </w:rPr>
              <w:t>to debtor</w:t>
            </w:r>
            <w:r>
              <w:rPr>
                <w:rFonts w:ascii="Arial" w:hAnsi="Arial" w:cs="Arial"/>
                <w:bCs/>
              </w:rPr>
              <w:t>s</w:t>
            </w:r>
            <w:r>
              <w:rPr>
                <w:rFonts w:ascii="Arial" w:hAnsi="Arial" w:cs="Arial"/>
                <w:b/>
              </w:rPr>
              <w:t>.</w:t>
            </w:r>
            <w:r w:rsidRPr="00F448BD">
              <w:rPr>
                <w:rFonts w:ascii="Arial" w:hAnsi="Arial" w:cs="Arial"/>
              </w:rPr>
              <w:t xml:space="preserve"> Where an account remains unpaid after 49 days, </w:t>
            </w:r>
            <w:r>
              <w:rPr>
                <w:rFonts w:ascii="Arial" w:hAnsi="Arial" w:cs="Arial"/>
              </w:rPr>
              <w:t xml:space="preserve">the Finance department will issue </w:t>
            </w:r>
            <w:r w:rsidRPr="00F448BD">
              <w:rPr>
                <w:rFonts w:ascii="Arial" w:hAnsi="Arial" w:cs="Arial"/>
              </w:rPr>
              <w:t xml:space="preserve">a </w:t>
            </w:r>
            <w:r w:rsidRPr="00521DFF">
              <w:rPr>
                <w:rFonts w:ascii="Arial" w:hAnsi="Arial" w:cs="Arial"/>
                <w:bCs/>
              </w:rPr>
              <w:t>second and final reminder</w:t>
            </w:r>
            <w:r>
              <w:rPr>
                <w:rFonts w:ascii="Arial" w:hAnsi="Arial" w:cs="Arial"/>
                <w:bCs/>
              </w:rPr>
              <w:t xml:space="preserve"> to debtors</w:t>
            </w:r>
            <w:r w:rsidRPr="00521DFF">
              <w:rPr>
                <w:rFonts w:ascii="Arial" w:hAnsi="Arial" w:cs="Arial"/>
                <w:bCs/>
              </w:rPr>
              <w:t>.</w:t>
            </w:r>
          </w:p>
          <w:p w14:paraId="3D0C19C7" w14:textId="77777777" w:rsidR="00DE34F4" w:rsidRPr="00AA02C3" w:rsidRDefault="00DE34F4" w:rsidP="008D6A18">
            <w:pPr>
              <w:pStyle w:val="NoSpacing"/>
              <w:rPr>
                <w:rFonts w:ascii="Arial" w:hAnsi="Arial" w:cs="Arial"/>
              </w:rPr>
            </w:pPr>
          </w:p>
        </w:tc>
      </w:tr>
      <w:tr w:rsidR="00DE34F4" w:rsidRPr="00F448BD" w14:paraId="673B484E" w14:textId="77777777" w:rsidTr="00C738A8">
        <w:tc>
          <w:tcPr>
            <w:tcW w:w="750" w:type="dxa"/>
          </w:tcPr>
          <w:p w14:paraId="50CA6126" w14:textId="77777777" w:rsidR="00DE34F4" w:rsidRPr="00AA02C3" w:rsidRDefault="00DE34F4" w:rsidP="00C738A8">
            <w:pPr>
              <w:pStyle w:val="NoSpacing"/>
              <w:rPr>
                <w:rFonts w:ascii="Arial" w:hAnsi="Arial" w:cs="Arial"/>
              </w:rPr>
            </w:pPr>
          </w:p>
        </w:tc>
        <w:tc>
          <w:tcPr>
            <w:tcW w:w="7472" w:type="dxa"/>
          </w:tcPr>
          <w:p w14:paraId="7EFDBCA7" w14:textId="1CA0287D" w:rsidR="00DE34F4" w:rsidRPr="00AA02C3" w:rsidRDefault="00DE34F4" w:rsidP="008D6A18">
            <w:pPr>
              <w:pStyle w:val="NoSpacing"/>
              <w:rPr>
                <w:rFonts w:ascii="Arial" w:hAnsi="Arial" w:cs="Arial"/>
              </w:rPr>
            </w:pPr>
            <w:r>
              <w:rPr>
                <w:rFonts w:ascii="Arial" w:hAnsi="Arial" w:cs="Arial"/>
                <w:b/>
              </w:rPr>
              <w:t>Reminders - other</w:t>
            </w:r>
          </w:p>
        </w:tc>
      </w:tr>
      <w:tr w:rsidR="00DE34F4" w:rsidRPr="00F448BD" w14:paraId="0065B927" w14:textId="77777777" w:rsidTr="00C738A8">
        <w:tc>
          <w:tcPr>
            <w:tcW w:w="750" w:type="dxa"/>
          </w:tcPr>
          <w:p w14:paraId="6851B911" w14:textId="77777777" w:rsidR="00DE34F4" w:rsidRPr="00AA02C3" w:rsidRDefault="00DE34F4" w:rsidP="00C738A8">
            <w:pPr>
              <w:pStyle w:val="NoSpacing"/>
              <w:rPr>
                <w:rFonts w:ascii="Arial" w:hAnsi="Arial" w:cs="Arial"/>
              </w:rPr>
            </w:pPr>
            <w:r>
              <w:rPr>
                <w:rFonts w:ascii="Arial" w:hAnsi="Arial" w:cs="Arial"/>
              </w:rPr>
              <w:t>3.3</w:t>
            </w:r>
          </w:p>
        </w:tc>
        <w:tc>
          <w:tcPr>
            <w:tcW w:w="7472" w:type="dxa"/>
          </w:tcPr>
          <w:p w14:paraId="2235AE20" w14:textId="77777777" w:rsidR="00DE34F4" w:rsidRPr="00AA02C3" w:rsidRDefault="00DE34F4" w:rsidP="008D6A18">
            <w:pPr>
              <w:pStyle w:val="NoSpacing"/>
              <w:rPr>
                <w:rFonts w:ascii="Arial" w:hAnsi="Arial" w:cs="Arial"/>
              </w:rPr>
            </w:pPr>
            <w:r w:rsidRPr="00F448BD">
              <w:rPr>
                <w:rFonts w:ascii="Arial" w:hAnsi="Arial" w:cs="Arial"/>
              </w:rPr>
              <w:t>Where it is known that the debt is to be settled from the estate of a deceased debtor,</w:t>
            </w:r>
            <w:r>
              <w:rPr>
                <w:rFonts w:ascii="Arial" w:hAnsi="Arial" w:cs="Arial"/>
              </w:rPr>
              <w:t xml:space="preserve"> the reminder process includes an additional step.</w:t>
            </w:r>
          </w:p>
        </w:tc>
      </w:tr>
      <w:tr w:rsidR="00DE34F4" w:rsidRPr="00F448BD" w14:paraId="7C2D0E71" w14:textId="77777777" w:rsidTr="00C738A8">
        <w:tc>
          <w:tcPr>
            <w:tcW w:w="750" w:type="dxa"/>
          </w:tcPr>
          <w:p w14:paraId="597CB122" w14:textId="77777777" w:rsidR="00DE34F4" w:rsidRDefault="00DE34F4" w:rsidP="00C738A8">
            <w:pPr>
              <w:pStyle w:val="NoSpacing"/>
              <w:rPr>
                <w:rFonts w:ascii="Arial" w:hAnsi="Arial" w:cs="Arial"/>
              </w:rPr>
            </w:pPr>
          </w:p>
        </w:tc>
        <w:tc>
          <w:tcPr>
            <w:tcW w:w="7472" w:type="dxa"/>
          </w:tcPr>
          <w:p w14:paraId="1FA44663" w14:textId="77777777" w:rsidR="00DE34F4" w:rsidRPr="00F448BD" w:rsidRDefault="00DE34F4" w:rsidP="008D6A18">
            <w:pPr>
              <w:pStyle w:val="NoSpacing"/>
              <w:rPr>
                <w:rFonts w:ascii="Arial" w:hAnsi="Arial" w:cs="Arial"/>
              </w:rPr>
            </w:pPr>
          </w:p>
        </w:tc>
      </w:tr>
      <w:tr w:rsidR="00DE34F4" w:rsidRPr="00F448BD" w14:paraId="38617920" w14:textId="77777777" w:rsidTr="00C738A8">
        <w:tc>
          <w:tcPr>
            <w:tcW w:w="750" w:type="dxa"/>
          </w:tcPr>
          <w:p w14:paraId="678FF404" w14:textId="77777777" w:rsidR="00DE34F4" w:rsidRDefault="00DE34F4" w:rsidP="00C738A8">
            <w:pPr>
              <w:pStyle w:val="NoSpacing"/>
              <w:rPr>
                <w:rFonts w:ascii="Arial" w:hAnsi="Arial" w:cs="Arial"/>
              </w:rPr>
            </w:pPr>
            <w:r>
              <w:rPr>
                <w:rFonts w:ascii="Arial" w:hAnsi="Arial" w:cs="Arial"/>
              </w:rPr>
              <w:t>3.4</w:t>
            </w:r>
          </w:p>
        </w:tc>
        <w:tc>
          <w:tcPr>
            <w:tcW w:w="7472" w:type="dxa"/>
          </w:tcPr>
          <w:p w14:paraId="18913E1C" w14:textId="77777777" w:rsidR="00DE34F4" w:rsidRPr="00F448BD" w:rsidRDefault="00DE34F4" w:rsidP="008D6A18">
            <w:pPr>
              <w:pStyle w:val="NoSpacing"/>
              <w:rPr>
                <w:rFonts w:cs="Arial"/>
              </w:rPr>
            </w:pPr>
            <w:r w:rsidRPr="00F448BD">
              <w:rPr>
                <w:rFonts w:ascii="Arial" w:hAnsi="Arial" w:cs="Arial"/>
              </w:rPr>
              <w:t xml:space="preserve">Where an account remains unpaid after 21 days, </w:t>
            </w:r>
            <w:r>
              <w:rPr>
                <w:rFonts w:ascii="Arial" w:hAnsi="Arial" w:cs="Arial"/>
              </w:rPr>
              <w:t xml:space="preserve">the Finance department will issue </w:t>
            </w:r>
            <w:r w:rsidRPr="00F448BD">
              <w:rPr>
                <w:rFonts w:ascii="Arial" w:hAnsi="Arial" w:cs="Arial"/>
              </w:rPr>
              <w:t>a</w:t>
            </w:r>
            <w:r w:rsidRPr="00F448BD">
              <w:rPr>
                <w:rFonts w:ascii="Arial" w:hAnsi="Arial" w:cs="Arial"/>
                <w:b/>
              </w:rPr>
              <w:t xml:space="preserve"> </w:t>
            </w:r>
            <w:r w:rsidRPr="00521DFF">
              <w:rPr>
                <w:rFonts w:ascii="Arial" w:hAnsi="Arial" w:cs="Arial"/>
                <w:bCs/>
              </w:rPr>
              <w:t>first reminder</w:t>
            </w:r>
            <w:r>
              <w:rPr>
                <w:rFonts w:ascii="Arial" w:hAnsi="Arial" w:cs="Arial"/>
                <w:b/>
              </w:rPr>
              <w:t xml:space="preserve"> </w:t>
            </w:r>
            <w:r w:rsidRPr="00521DFF">
              <w:rPr>
                <w:rFonts w:ascii="Arial" w:hAnsi="Arial" w:cs="Arial"/>
                <w:bCs/>
              </w:rPr>
              <w:t>to debtors</w:t>
            </w:r>
            <w:r>
              <w:rPr>
                <w:rFonts w:ascii="Arial" w:hAnsi="Arial" w:cs="Arial"/>
                <w:b/>
              </w:rPr>
              <w:t>.</w:t>
            </w:r>
            <w:r w:rsidRPr="00F448BD">
              <w:rPr>
                <w:rFonts w:ascii="Arial" w:hAnsi="Arial" w:cs="Arial"/>
              </w:rPr>
              <w:t xml:space="preserve"> Where an account remains unpaid after </w:t>
            </w:r>
            <w:r>
              <w:rPr>
                <w:rFonts w:ascii="Arial" w:hAnsi="Arial" w:cs="Arial"/>
              </w:rPr>
              <w:t>35</w:t>
            </w:r>
            <w:r w:rsidRPr="00F448BD">
              <w:rPr>
                <w:rFonts w:ascii="Arial" w:hAnsi="Arial" w:cs="Arial"/>
              </w:rPr>
              <w:t xml:space="preserve"> days, </w:t>
            </w:r>
            <w:r>
              <w:rPr>
                <w:rFonts w:ascii="Arial" w:hAnsi="Arial" w:cs="Arial"/>
              </w:rPr>
              <w:t xml:space="preserve">the Finance department will issue </w:t>
            </w:r>
            <w:r w:rsidRPr="00F448BD">
              <w:rPr>
                <w:rFonts w:ascii="Arial" w:hAnsi="Arial" w:cs="Arial"/>
              </w:rPr>
              <w:t xml:space="preserve">a </w:t>
            </w:r>
            <w:r w:rsidRPr="00521DFF">
              <w:rPr>
                <w:rFonts w:ascii="Arial" w:hAnsi="Arial" w:cs="Arial"/>
                <w:bCs/>
              </w:rPr>
              <w:t>second reminder</w:t>
            </w:r>
            <w:r>
              <w:rPr>
                <w:rFonts w:ascii="Arial" w:hAnsi="Arial" w:cs="Arial"/>
                <w:bCs/>
              </w:rPr>
              <w:t xml:space="preserve"> to debtors</w:t>
            </w:r>
            <w:r w:rsidRPr="00521DFF">
              <w:rPr>
                <w:rFonts w:ascii="Arial" w:hAnsi="Arial" w:cs="Arial"/>
                <w:bCs/>
              </w:rPr>
              <w:t>.</w:t>
            </w:r>
            <w:r>
              <w:rPr>
                <w:rFonts w:ascii="Arial" w:hAnsi="Arial" w:cs="Arial"/>
                <w:bCs/>
              </w:rPr>
              <w:t xml:space="preserve"> </w:t>
            </w:r>
            <w:r w:rsidRPr="00F448BD">
              <w:rPr>
                <w:rFonts w:ascii="Arial" w:hAnsi="Arial" w:cs="Arial"/>
              </w:rPr>
              <w:t xml:space="preserve">Where an account remains unpaid after 49 days, </w:t>
            </w:r>
            <w:r>
              <w:rPr>
                <w:rFonts w:ascii="Arial" w:hAnsi="Arial" w:cs="Arial"/>
              </w:rPr>
              <w:t xml:space="preserve">the Finance department will issue </w:t>
            </w:r>
            <w:r w:rsidRPr="00F448BD">
              <w:rPr>
                <w:rFonts w:ascii="Arial" w:hAnsi="Arial" w:cs="Arial"/>
              </w:rPr>
              <w:t xml:space="preserve">a </w:t>
            </w:r>
            <w:r>
              <w:rPr>
                <w:rFonts w:ascii="Arial" w:hAnsi="Arial" w:cs="Arial"/>
              </w:rPr>
              <w:t>third</w:t>
            </w:r>
            <w:r w:rsidRPr="00521DFF">
              <w:rPr>
                <w:rFonts w:ascii="Arial" w:hAnsi="Arial" w:cs="Arial"/>
                <w:bCs/>
              </w:rPr>
              <w:t xml:space="preserve"> and final reminder</w:t>
            </w:r>
            <w:r>
              <w:rPr>
                <w:rFonts w:ascii="Arial" w:hAnsi="Arial" w:cs="Arial"/>
                <w:bCs/>
              </w:rPr>
              <w:t xml:space="preserve"> to the debtor</w:t>
            </w:r>
            <w:r w:rsidRPr="00521DFF">
              <w:rPr>
                <w:rFonts w:ascii="Arial" w:hAnsi="Arial" w:cs="Arial"/>
                <w:bCs/>
              </w:rPr>
              <w:t>.</w:t>
            </w:r>
          </w:p>
          <w:p w14:paraId="170866EE" w14:textId="77777777" w:rsidR="00DE34F4" w:rsidRPr="00F448BD" w:rsidRDefault="00DE34F4" w:rsidP="008D6A18">
            <w:pPr>
              <w:pStyle w:val="NoSpacing"/>
              <w:rPr>
                <w:rFonts w:ascii="Arial" w:hAnsi="Arial" w:cs="Arial"/>
              </w:rPr>
            </w:pPr>
          </w:p>
        </w:tc>
      </w:tr>
      <w:tr w:rsidR="00DE34F4" w:rsidRPr="00F448BD" w14:paraId="07AEFAFA" w14:textId="77777777" w:rsidTr="00C738A8">
        <w:tc>
          <w:tcPr>
            <w:tcW w:w="750" w:type="dxa"/>
          </w:tcPr>
          <w:p w14:paraId="0E70911A" w14:textId="77777777" w:rsidR="00DE34F4" w:rsidRPr="00AA02C3" w:rsidRDefault="00DE34F4" w:rsidP="00C738A8">
            <w:pPr>
              <w:pStyle w:val="NoSpacing"/>
              <w:rPr>
                <w:rFonts w:ascii="Arial" w:hAnsi="Arial" w:cs="Arial"/>
              </w:rPr>
            </w:pPr>
          </w:p>
        </w:tc>
        <w:tc>
          <w:tcPr>
            <w:tcW w:w="7472" w:type="dxa"/>
          </w:tcPr>
          <w:p w14:paraId="0F7B4912" w14:textId="473DFA55" w:rsidR="00DE34F4" w:rsidRPr="00521DFF" w:rsidRDefault="00DE34F4" w:rsidP="008D6A18">
            <w:pPr>
              <w:pStyle w:val="NoSpacing"/>
              <w:rPr>
                <w:rFonts w:ascii="Arial" w:hAnsi="Arial" w:cs="Arial"/>
                <w:b/>
                <w:bCs/>
              </w:rPr>
            </w:pPr>
            <w:r>
              <w:rPr>
                <w:rFonts w:ascii="Arial" w:hAnsi="Arial" w:cs="Arial"/>
                <w:b/>
                <w:bCs/>
              </w:rPr>
              <w:t>Referral to collection agency</w:t>
            </w:r>
          </w:p>
        </w:tc>
      </w:tr>
      <w:tr w:rsidR="00DE34F4" w:rsidRPr="00F448BD" w14:paraId="0D03FA90" w14:textId="77777777" w:rsidTr="00C738A8">
        <w:tc>
          <w:tcPr>
            <w:tcW w:w="750" w:type="dxa"/>
          </w:tcPr>
          <w:p w14:paraId="5EDF0E94" w14:textId="77777777" w:rsidR="00DE34F4" w:rsidRPr="00AA02C3" w:rsidRDefault="00DE34F4" w:rsidP="00C738A8">
            <w:pPr>
              <w:pStyle w:val="NoSpacing"/>
              <w:rPr>
                <w:rFonts w:ascii="Arial" w:hAnsi="Arial" w:cs="Arial"/>
              </w:rPr>
            </w:pPr>
            <w:r>
              <w:rPr>
                <w:rFonts w:ascii="Arial" w:hAnsi="Arial" w:cs="Arial"/>
              </w:rPr>
              <w:t>3.5</w:t>
            </w:r>
          </w:p>
        </w:tc>
        <w:tc>
          <w:tcPr>
            <w:tcW w:w="7472" w:type="dxa"/>
          </w:tcPr>
          <w:p w14:paraId="2E3F21BA" w14:textId="2FB96E30" w:rsidR="00DE34F4" w:rsidRPr="00F448BD" w:rsidRDefault="00DE34F4" w:rsidP="008D6A18">
            <w:pPr>
              <w:pStyle w:val="NoSpacing"/>
              <w:rPr>
                <w:rFonts w:cs="Arial"/>
              </w:rPr>
            </w:pPr>
            <w:r>
              <w:rPr>
                <w:rFonts w:ascii="Arial" w:hAnsi="Arial" w:cs="Arial"/>
              </w:rPr>
              <w:t>The</w:t>
            </w:r>
            <w:r w:rsidRPr="00F448BD">
              <w:rPr>
                <w:rFonts w:ascii="Arial" w:hAnsi="Arial" w:cs="Arial"/>
              </w:rPr>
              <w:t xml:space="preserve"> Payments Section </w:t>
            </w:r>
            <w:r>
              <w:rPr>
                <w:rFonts w:ascii="Arial" w:hAnsi="Arial" w:cs="Arial"/>
              </w:rPr>
              <w:t>will review a</w:t>
            </w:r>
            <w:r w:rsidRPr="00F448BD">
              <w:rPr>
                <w:rFonts w:ascii="Arial" w:hAnsi="Arial" w:cs="Arial"/>
              </w:rPr>
              <w:t xml:space="preserve">ll debts still outstanding after 49 </w:t>
            </w:r>
            <w:proofErr w:type="gramStart"/>
            <w:r w:rsidRPr="00F448BD">
              <w:rPr>
                <w:rFonts w:ascii="Arial" w:hAnsi="Arial" w:cs="Arial"/>
              </w:rPr>
              <w:t>day</w:t>
            </w:r>
            <w:proofErr w:type="gramEnd"/>
            <w:r>
              <w:rPr>
                <w:rFonts w:ascii="Arial" w:hAnsi="Arial" w:cs="Arial"/>
              </w:rPr>
              <w:t xml:space="preserve"> </w:t>
            </w:r>
            <w:r w:rsidRPr="00F448BD">
              <w:rPr>
                <w:rFonts w:ascii="Arial" w:hAnsi="Arial" w:cs="Arial"/>
              </w:rPr>
              <w:t xml:space="preserve">prior to referral to the External Debt Collection Agency.  Wherever possible </w:t>
            </w:r>
            <w:r>
              <w:rPr>
                <w:rFonts w:ascii="Arial" w:hAnsi="Arial" w:cs="Arial"/>
              </w:rPr>
              <w:t xml:space="preserve">the Payments Section will </w:t>
            </w:r>
            <w:r w:rsidRPr="00F448BD">
              <w:rPr>
                <w:rFonts w:ascii="Arial" w:hAnsi="Arial" w:cs="Arial"/>
              </w:rPr>
              <w:t>contact the debtor to establish reasons for the delay</w:t>
            </w:r>
            <w:r>
              <w:rPr>
                <w:rFonts w:ascii="Arial" w:hAnsi="Arial" w:cs="Arial"/>
              </w:rPr>
              <w:t xml:space="preserve"> in payment</w:t>
            </w:r>
            <w:r w:rsidRPr="00F448BD">
              <w:rPr>
                <w:rFonts w:ascii="Arial" w:hAnsi="Arial" w:cs="Arial"/>
              </w:rPr>
              <w:t>.</w:t>
            </w:r>
          </w:p>
          <w:p w14:paraId="46FDADDE" w14:textId="77777777" w:rsidR="00DE34F4" w:rsidRPr="00AA02C3" w:rsidRDefault="00DE34F4" w:rsidP="008D6A18">
            <w:pPr>
              <w:pStyle w:val="NoSpacing"/>
              <w:rPr>
                <w:rFonts w:ascii="Arial" w:hAnsi="Arial" w:cs="Arial"/>
              </w:rPr>
            </w:pPr>
          </w:p>
        </w:tc>
      </w:tr>
      <w:tr w:rsidR="00DE34F4" w:rsidRPr="00F448BD" w14:paraId="0FDA9182" w14:textId="77777777" w:rsidTr="00C738A8">
        <w:tc>
          <w:tcPr>
            <w:tcW w:w="750" w:type="dxa"/>
          </w:tcPr>
          <w:p w14:paraId="6CB022C7" w14:textId="77777777" w:rsidR="00DE34F4" w:rsidRPr="00C86E98" w:rsidRDefault="00DE34F4" w:rsidP="00C738A8">
            <w:pPr>
              <w:pStyle w:val="NoSpacing"/>
              <w:rPr>
                <w:rFonts w:ascii="Arial" w:hAnsi="Arial" w:cs="Arial"/>
              </w:rPr>
            </w:pPr>
            <w:r w:rsidRPr="00C86E98">
              <w:rPr>
                <w:rFonts w:ascii="Arial" w:hAnsi="Arial" w:cs="Arial"/>
              </w:rPr>
              <w:t>3.6</w:t>
            </w:r>
          </w:p>
        </w:tc>
        <w:tc>
          <w:tcPr>
            <w:tcW w:w="7472" w:type="dxa"/>
          </w:tcPr>
          <w:p w14:paraId="3C331C89" w14:textId="77777777" w:rsidR="00DE34F4" w:rsidRPr="00AA02C3" w:rsidRDefault="00DE34F4" w:rsidP="008D6A18">
            <w:pPr>
              <w:pStyle w:val="NoSpacing"/>
              <w:rPr>
                <w:rFonts w:ascii="Arial" w:hAnsi="Arial" w:cs="Arial"/>
              </w:rPr>
            </w:pPr>
            <w:r>
              <w:rPr>
                <w:rFonts w:ascii="Arial" w:hAnsi="Arial" w:cs="Arial"/>
              </w:rPr>
              <w:t xml:space="preserve">The Payments Section may agree alternative payment arrangements with the debtor. </w:t>
            </w:r>
          </w:p>
        </w:tc>
      </w:tr>
      <w:tr w:rsidR="00DE34F4" w:rsidRPr="00F448BD" w14:paraId="2D7CA4AA" w14:textId="77777777" w:rsidTr="00C738A8">
        <w:tc>
          <w:tcPr>
            <w:tcW w:w="750" w:type="dxa"/>
          </w:tcPr>
          <w:p w14:paraId="7AE76E3E" w14:textId="77777777" w:rsidR="00DE34F4" w:rsidRPr="00AA02C3" w:rsidRDefault="00DE34F4" w:rsidP="00C738A8">
            <w:pPr>
              <w:pStyle w:val="NoSpacing"/>
              <w:jc w:val="both"/>
              <w:rPr>
                <w:rFonts w:ascii="Arial" w:hAnsi="Arial" w:cs="Arial"/>
              </w:rPr>
            </w:pPr>
          </w:p>
        </w:tc>
        <w:tc>
          <w:tcPr>
            <w:tcW w:w="7472" w:type="dxa"/>
          </w:tcPr>
          <w:p w14:paraId="1B7D3590" w14:textId="77777777" w:rsidR="00DE34F4" w:rsidRPr="00AA02C3" w:rsidRDefault="00DE34F4" w:rsidP="008D6A18">
            <w:pPr>
              <w:pStyle w:val="NoSpacing"/>
              <w:rPr>
                <w:rFonts w:ascii="Arial" w:hAnsi="Arial" w:cs="Arial"/>
              </w:rPr>
            </w:pPr>
          </w:p>
        </w:tc>
      </w:tr>
      <w:tr w:rsidR="00DE34F4" w:rsidRPr="00F448BD" w14:paraId="6E0236E0" w14:textId="77777777" w:rsidTr="00C738A8">
        <w:tc>
          <w:tcPr>
            <w:tcW w:w="750" w:type="dxa"/>
          </w:tcPr>
          <w:p w14:paraId="3CA0F4CD" w14:textId="77777777" w:rsidR="00DE34F4" w:rsidRPr="00AA02C3" w:rsidRDefault="00DE34F4" w:rsidP="00C738A8">
            <w:pPr>
              <w:pStyle w:val="NoSpacing"/>
              <w:rPr>
                <w:rFonts w:ascii="Arial" w:hAnsi="Arial" w:cs="Arial"/>
                <w:b/>
                <w:bCs/>
              </w:rPr>
            </w:pPr>
          </w:p>
        </w:tc>
        <w:tc>
          <w:tcPr>
            <w:tcW w:w="7472" w:type="dxa"/>
          </w:tcPr>
          <w:p w14:paraId="05DC42FA" w14:textId="77777777" w:rsidR="00DE34F4" w:rsidRPr="00AA02C3" w:rsidRDefault="00DE34F4" w:rsidP="00C738A8">
            <w:pPr>
              <w:pStyle w:val="NoSpacing"/>
              <w:jc w:val="both"/>
              <w:rPr>
                <w:rFonts w:cs="Arial"/>
                <w:b/>
                <w:bCs/>
              </w:rPr>
            </w:pPr>
            <w:r w:rsidRPr="00AA02C3">
              <w:rPr>
                <w:rFonts w:ascii="Arial" w:hAnsi="Arial" w:cs="Arial"/>
                <w:b/>
                <w:bCs/>
              </w:rPr>
              <w:t xml:space="preserve">Instalments  </w:t>
            </w:r>
          </w:p>
        </w:tc>
      </w:tr>
      <w:tr w:rsidR="00DE34F4" w:rsidRPr="00F448BD" w14:paraId="552AC31C" w14:textId="77777777" w:rsidTr="00C738A8">
        <w:tc>
          <w:tcPr>
            <w:tcW w:w="750" w:type="dxa"/>
          </w:tcPr>
          <w:p w14:paraId="66002935" w14:textId="77777777" w:rsidR="00DE34F4" w:rsidRPr="00AA02C3" w:rsidRDefault="00DE34F4" w:rsidP="00C738A8">
            <w:pPr>
              <w:pStyle w:val="NoSpacing"/>
              <w:rPr>
                <w:rFonts w:ascii="Arial" w:hAnsi="Arial" w:cs="Arial"/>
              </w:rPr>
            </w:pPr>
            <w:r>
              <w:rPr>
                <w:rFonts w:ascii="Arial" w:hAnsi="Arial" w:cs="Arial"/>
              </w:rPr>
              <w:t>3.7</w:t>
            </w:r>
          </w:p>
        </w:tc>
        <w:tc>
          <w:tcPr>
            <w:tcW w:w="7472" w:type="dxa"/>
          </w:tcPr>
          <w:p w14:paraId="2F39BD95" w14:textId="77777777" w:rsidR="00DE34F4" w:rsidRPr="00F448BD" w:rsidRDefault="00DE34F4" w:rsidP="008D6A18">
            <w:pPr>
              <w:pStyle w:val="NoSpacing"/>
              <w:rPr>
                <w:rFonts w:cs="Arial"/>
              </w:rPr>
            </w:pPr>
            <w:r w:rsidRPr="00F448BD">
              <w:rPr>
                <w:rFonts w:ascii="Arial" w:hAnsi="Arial" w:cs="Arial"/>
              </w:rPr>
              <w:t xml:space="preserve">Where the debtor is unable to settle in full by the due date, </w:t>
            </w:r>
            <w:r>
              <w:rPr>
                <w:rFonts w:ascii="Arial" w:hAnsi="Arial" w:cs="Arial"/>
              </w:rPr>
              <w:t xml:space="preserve">the Payments Section can agree </w:t>
            </w:r>
            <w:r w:rsidRPr="00F448BD">
              <w:rPr>
                <w:rFonts w:ascii="Arial" w:hAnsi="Arial" w:cs="Arial"/>
              </w:rPr>
              <w:t>arran</w:t>
            </w:r>
            <w:r>
              <w:rPr>
                <w:rFonts w:ascii="Arial" w:hAnsi="Arial" w:cs="Arial"/>
              </w:rPr>
              <w:t xml:space="preserve">gements for </w:t>
            </w:r>
            <w:r w:rsidRPr="00F448BD">
              <w:rPr>
                <w:rFonts w:ascii="Arial" w:hAnsi="Arial" w:cs="Arial"/>
              </w:rPr>
              <w:t>payment by instalments.</w:t>
            </w:r>
            <w:r>
              <w:rPr>
                <w:rFonts w:ascii="Arial" w:hAnsi="Arial" w:cs="Arial"/>
              </w:rPr>
              <w:t xml:space="preserve">  The Payments Section will agree a schedule of payments and issue to the debtor, setting out due dates and amounts of the payments to be made.</w:t>
            </w:r>
          </w:p>
        </w:tc>
      </w:tr>
      <w:tr w:rsidR="00DE34F4" w:rsidRPr="00F448BD" w14:paraId="5C5E28B6" w14:textId="77777777" w:rsidTr="00C738A8">
        <w:tc>
          <w:tcPr>
            <w:tcW w:w="750" w:type="dxa"/>
          </w:tcPr>
          <w:p w14:paraId="648BFC09" w14:textId="77777777" w:rsidR="00DE34F4" w:rsidRPr="00AA02C3" w:rsidRDefault="00DE34F4" w:rsidP="00C738A8">
            <w:pPr>
              <w:pStyle w:val="NoSpacing"/>
              <w:rPr>
                <w:rFonts w:ascii="Arial" w:hAnsi="Arial" w:cs="Arial"/>
              </w:rPr>
            </w:pPr>
          </w:p>
        </w:tc>
        <w:tc>
          <w:tcPr>
            <w:tcW w:w="7472" w:type="dxa"/>
          </w:tcPr>
          <w:p w14:paraId="6950D091" w14:textId="77777777" w:rsidR="00DE34F4" w:rsidRPr="00F448BD" w:rsidRDefault="00DE34F4" w:rsidP="008D6A18">
            <w:pPr>
              <w:pStyle w:val="NoSpacing"/>
              <w:rPr>
                <w:rFonts w:cs="Arial"/>
              </w:rPr>
            </w:pPr>
          </w:p>
        </w:tc>
      </w:tr>
      <w:tr w:rsidR="00DE34F4" w:rsidRPr="00F448BD" w14:paraId="32089D89" w14:textId="77777777" w:rsidTr="00C738A8">
        <w:tc>
          <w:tcPr>
            <w:tcW w:w="750" w:type="dxa"/>
          </w:tcPr>
          <w:p w14:paraId="234CA663" w14:textId="77777777" w:rsidR="00DE34F4" w:rsidRPr="00AA02C3" w:rsidRDefault="00DE34F4" w:rsidP="00C738A8">
            <w:pPr>
              <w:pStyle w:val="NoSpacing"/>
              <w:rPr>
                <w:rFonts w:ascii="Arial" w:hAnsi="Arial" w:cs="Arial"/>
              </w:rPr>
            </w:pPr>
            <w:r>
              <w:rPr>
                <w:rFonts w:ascii="Arial" w:hAnsi="Arial" w:cs="Arial"/>
              </w:rPr>
              <w:t>3.8</w:t>
            </w:r>
          </w:p>
        </w:tc>
        <w:tc>
          <w:tcPr>
            <w:tcW w:w="7472" w:type="dxa"/>
          </w:tcPr>
          <w:p w14:paraId="4E97D664" w14:textId="77777777" w:rsidR="00DE34F4" w:rsidRPr="00F448BD" w:rsidRDefault="00DE34F4" w:rsidP="008D6A18">
            <w:pPr>
              <w:pStyle w:val="NoSpacing"/>
              <w:rPr>
                <w:rFonts w:cs="Arial"/>
              </w:rPr>
            </w:pPr>
            <w:r>
              <w:rPr>
                <w:rFonts w:ascii="Arial" w:hAnsi="Arial" w:cs="Arial"/>
              </w:rPr>
              <w:t>T</w:t>
            </w:r>
            <w:r w:rsidRPr="00F448BD">
              <w:rPr>
                <w:rFonts w:ascii="Arial" w:hAnsi="Arial" w:cs="Arial"/>
              </w:rPr>
              <w:t xml:space="preserve">he repayment period should be </w:t>
            </w:r>
            <w:r>
              <w:rPr>
                <w:rFonts w:ascii="Arial" w:hAnsi="Arial" w:cs="Arial"/>
              </w:rPr>
              <w:t>kept to a minimum.</w:t>
            </w:r>
          </w:p>
        </w:tc>
      </w:tr>
      <w:tr w:rsidR="00DE34F4" w:rsidRPr="00F448BD" w14:paraId="43CDE1C9" w14:textId="77777777" w:rsidTr="00C738A8">
        <w:tc>
          <w:tcPr>
            <w:tcW w:w="750" w:type="dxa"/>
          </w:tcPr>
          <w:p w14:paraId="0F905721" w14:textId="77777777" w:rsidR="00DE34F4" w:rsidRPr="00AA02C3" w:rsidRDefault="00DE34F4" w:rsidP="00C738A8">
            <w:pPr>
              <w:pStyle w:val="NoSpacing"/>
              <w:rPr>
                <w:rFonts w:ascii="Arial" w:hAnsi="Arial" w:cs="Arial"/>
              </w:rPr>
            </w:pPr>
          </w:p>
        </w:tc>
        <w:tc>
          <w:tcPr>
            <w:tcW w:w="7472" w:type="dxa"/>
          </w:tcPr>
          <w:p w14:paraId="2F6B55F8" w14:textId="77777777" w:rsidR="00DE34F4" w:rsidRPr="00F448BD" w:rsidRDefault="00DE34F4" w:rsidP="008D6A18">
            <w:pPr>
              <w:pStyle w:val="NoSpacing"/>
              <w:rPr>
                <w:rFonts w:cs="Arial"/>
              </w:rPr>
            </w:pPr>
          </w:p>
        </w:tc>
      </w:tr>
      <w:tr w:rsidR="00DE34F4" w:rsidRPr="00F448BD" w14:paraId="5E8543C0" w14:textId="77777777" w:rsidTr="00C738A8">
        <w:tc>
          <w:tcPr>
            <w:tcW w:w="750" w:type="dxa"/>
          </w:tcPr>
          <w:p w14:paraId="4C5BBBED" w14:textId="77777777" w:rsidR="00DE34F4" w:rsidRPr="00AA02C3" w:rsidRDefault="00DE34F4" w:rsidP="00C738A8">
            <w:pPr>
              <w:pStyle w:val="NoSpacing"/>
              <w:rPr>
                <w:rFonts w:ascii="Arial" w:hAnsi="Arial" w:cs="Arial"/>
              </w:rPr>
            </w:pPr>
            <w:r>
              <w:rPr>
                <w:rFonts w:ascii="Arial" w:hAnsi="Arial" w:cs="Arial"/>
              </w:rPr>
              <w:t>3.9</w:t>
            </w:r>
          </w:p>
        </w:tc>
        <w:tc>
          <w:tcPr>
            <w:tcW w:w="7472" w:type="dxa"/>
          </w:tcPr>
          <w:p w14:paraId="7645601E" w14:textId="77777777" w:rsidR="00DE34F4" w:rsidRPr="00F448BD" w:rsidRDefault="00DE34F4" w:rsidP="008D6A18">
            <w:pPr>
              <w:pStyle w:val="NoSpacing"/>
              <w:rPr>
                <w:rFonts w:cs="Arial"/>
              </w:rPr>
            </w:pPr>
            <w:r w:rsidRPr="00F448BD">
              <w:rPr>
                <w:rFonts w:ascii="Arial" w:hAnsi="Arial" w:cs="Arial"/>
              </w:rPr>
              <w:t xml:space="preserve">If the debtor breaches </w:t>
            </w:r>
            <w:r>
              <w:rPr>
                <w:rFonts w:ascii="Arial" w:hAnsi="Arial" w:cs="Arial"/>
              </w:rPr>
              <w:t>an</w:t>
            </w:r>
            <w:r w:rsidRPr="00F448BD">
              <w:rPr>
                <w:rFonts w:ascii="Arial" w:hAnsi="Arial" w:cs="Arial"/>
              </w:rPr>
              <w:t xml:space="preserve"> agreement, the invoice will be subject to the normal recovery rules</w:t>
            </w:r>
            <w:r>
              <w:rPr>
                <w:rFonts w:ascii="Arial" w:hAnsi="Arial" w:cs="Arial"/>
              </w:rPr>
              <w:t xml:space="preserve"> and referred to the collection agency</w:t>
            </w:r>
            <w:r w:rsidRPr="00F448BD">
              <w:rPr>
                <w:rFonts w:ascii="Arial" w:hAnsi="Arial" w:cs="Arial"/>
              </w:rPr>
              <w:t>.</w:t>
            </w:r>
          </w:p>
        </w:tc>
      </w:tr>
      <w:tr w:rsidR="00DE34F4" w:rsidRPr="00F448BD" w14:paraId="2440E0E2" w14:textId="77777777" w:rsidTr="00C738A8">
        <w:tc>
          <w:tcPr>
            <w:tcW w:w="750" w:type="dxa"/>
          </w:tcPr>
          <w:p w14:paraId="39850979" w14:textId="77777777" w:rsidR="00DE34F4" w:rsidRPr="00AA02C3" w:rsidRDefault="00DE34F4" w:rsidP="00C738A8">
            <w:pPr>
              <w:pStyle w:val="NoSpacing"/>
              <w:rPr>
                <w:rFonts w:ascii="Arial" w:hAnsi="Arial" w:cs="Arial"/>
              </w:rPr>
            </w:pPr>
          </w:p>
        </w:tc>
        <w:tc>
          <w:tcPr>
            <w:tcW w:w="7472" w:type="dxa"/>
          </w:tcPr>
          <w:p w14:paraId="3FC92FF0" w14:textId="77777777" w:rsidR="00DE34F4" w:rsidRPr="00F448BD" w:rsidRDefault="00DE34F4" w:rsidP="008D6A18">
            <w:pPr>
              <w:pStyle w:val="NoSpacing"/>
              <w:rPr>
                <w:rFonts w:cs="Arial"/>
              </w:rPr>
            </w:pPr>
          </w:p>
        </w:tc>
      </w:tr>
      <w:tr w:rsidR="00DE34F4" w:rsidRPr="00F448BD" w14:paraId="78D6FF38" w14:textId="77777777" w:rsidTr="00C738A8">
        <w:tc>
          <w:tcPr>
            <w:tcW w:w="750" w:type="dxa"/>
          </w:tcPr>
          <w:p w14:paraId="67FFF7A5" w14:textId="77777777" w:rsidR="00DE34F4" w:rsidRPr="00AA02C3" w:rsidRDefault="00DE34F4" w:rsidP="00C738A8">
            <w:pPr>
              <w:pStyle w:val="NoSpacing"/>
              <w:rPr>
                <w:rFonts w:ascii="Arial" w:hAnsi="Arial" w:cs="Arial"/>
                <w:b/>
                <w:bCs/>
              </w:rPr>
            </w:pPr>
          </w:p>
        </w:tc>
        <w:tc>
          <w:tcPr>
            <w:tcW w:w="7472" w:type="dxa"/>
          </w:tcPr>
          <w:p w14:paraId="61CC61F6" w14:textId="77777777" w:rsidR="00DE34F4" w:rsidRPr="00AA02C3" w:rsidRDefault="00DE34F4" w:rsidP="008D6A18">
            <w:pPr>
              <w:pStyle w:val="NoSpacing"/>
              <w:rPr>
                <w:rFonts w:cs="Arial"/>
                <w:b/>
                <w:bCs/>
              </w:rPr>
            </w:pPr>
            <w:r w:rsidRPr="00AA02C3">
              <w:rPr>
                <w:rFonts w:ascii="Arial" w:hAnsi="Arial" w:cs="Arial"/>
                <w:b/>
                <w:bCs/>
              </w:rPr>
              <w:t>Offsetting</w:t>
            </w:r>
          </w:p>
        </w:tc>
      </w:tr>
      <w:tr w:rsidR="00DE34F4" w:rsidRPr="00F448BD" w14:paraId="49AD5663" w14:textId="77777777" w:rsidTr="00C738A8">
        <w:tc>
          <w:tcPr>
            <w:tcW w:w="750" w:type="dxa"/>
          </w:tcPr>
          <w:p w14:paraId="6B09F3EA" w14:textId="77777777" w:rsidR="00DE34F4" w:rsidRPr="00AA02C3" w:rsidRDefault="00DE34F4" w:rsidP="00C738A8">
            <w:pPr>
              <w:pStyle w:val="NoSpacing"/>
              <w:rPr>
                <w:rFonts w:ascii="Arial" w:hAnsi="Arial" w:cs="Arial"/>
              </w:rPr>
            </w:pPr>
          </w:p>
        </w:tc>
        <w:tc>
          <w:tcPr>
            <w:tcW w:w="7472" w:type="dxa"/>
          </w:tcPr>
          <w:p w14:paraId="77DF397D" w14:textId="77777777" w:rsidR="00DE34F4" w:rsidRPr="00F448BD" w:rsidRDefault="00DE34F4" w:rsidP="008D6A18">
            <w:pPr>
              <w:pStyle w:val="NoSpacing"/>
              <w:rPr>
                <w:rFonts w:cs="Arial"/>
              </w:rPr>
            </w:pPr>
          </w:p>
        </w:tc>
      </w:tr>
      <w:tr w:rsidR="00DE34F4" w:rsidRPr="00F448BD" w14:paraId="5FE2D996" w14:textId="77777777" w:rsidTr="00C738A8">
        <w:tc>
          <w:tcPr>
            <w:tcW w:w="750" w:type="dxa"/>
          </w:tcPr>
          <w:p w14:paraId="19D7F60C" w14:textId="77777777" w:rsidR="00DE34F4" w:rsidRPr="00AA02C3" w:rsidRDefault="00DE34F4" w:rsidP="00C738A8">
            <w:pPr>
              <w:pStyle w:val="NoSpacing"/>
              <w:rPr>
                <w:rFonts w:ascii="Arial" w:hAnsi="Arial" w:cs="Arial"/>
              </w:rPr>
            </w:pPr>
            <w:r>
              <w:rPr>
                <w:rFonts w:ascii="Arial" w:hAnsi="Arial" w:cs="Arial"/>
              </w:rPr>
              <w:t>3.10</w:t>
            </w:r>
          </w:p>
        </w:tc>
        <w:tc>
          <w:tcPr>
            <w:tcW w:w="7472" w:type="dxa"/>
          </w:tcPr>
          <w:p w14:paraId="0D06FB49" w14:textId="77777777" w:rsidR="00DE34F4" w:rsidRPr="00F448BD" w:rsidRDefault="00DE34F4" w:rsidP="008D6A18">
            <w:pPr>
              <w:pStyle w:val="NoSpacing"/>
              <w:rPr>
                <w:rFonts w:cs="Arial"/>
              </w:rPr>
            </w:pPr>
            <w:r>
              <w:rPr>
                <w:rFonts w:ascii="Arial" w:hAnsi="Arial" w:cs="Arial"/>
              </w:rPr>
              <w:t xml:space="preserve">Where it is possible </w:t>
            </w:r>
            <w:r w:rsidRPr="00F448BD">
              <w:rPr>
                <w:rFonts w:ascii="Arial" w:hAnsi="Arial" w:cs="Arial"/>
              </w:rPr>
              <w:t>to offset money owed to the Council by a debtor against money owed by the Council to that debtor</w:t>
            </w:r>
            <w:r>
              <w:rPr>
                <w:rFonts w:ascii="Arial" w:hAnsi="Arial" w:cs="Arial"/>
              </w:rPr>
              <w:t xml:space="preserve"> the Payments Section can initiate the offsetting process</w:t>
            </w:r>
            <w:r w:rsidRPr="00F448BD">
              <w:rPr>
                <w:rFonts w:ascii="Arial" w:hAnsi="Arial" w:cs="Arial"/>
              </w:rPr>
              <w:t xml:space="preserve">. </w:t>
            </w:r>
          </w:p>
        </w:tc>
      </w:tr>
      <w:tr w:rsidR="00DE34F4" w:rsidRPr="00F448BD" w14:paraId="68DB246C" w14:textId="77777777" w:rsidTr="00C738A8">
        <w:tc>
          <w:tcPr>
            <w:tcW w:w="750" w:type="dxa"/>
          </w:tcPr>
          <w:p w14:paraId="1CC246EE" w14:textId="77777777" w:rsidR="00DE34F4" w:rsidRPr="00AA02C3" w:rsidRDefault="00DE34F4" w:rsidP="00C738A8">
            <w:pPr>
              <w:pStyle w:val="NoSpacing"/>
              <w:rPr>
                <w:rFonts w:ascii="Arial" w:hAnsi="Arial" w:cs="Arial"/>
              </w:rPr>
            </w:pPr>
          </w:p>
        </w:tc>
        <w:tc>
          <w:tcPr>
            <w:tcW w:w="7472" w:type="dxa"/>
          </w:tcPr>
          <w:p w14:paraId="6427E077" w14:textId="77777777" w:rsidR="00DE34F4" w:rsidRPr="00F448BD" w:rsidRDefault="00DE34F4" w:rsidP="008D6A18">
            <w:pPr>
              <w:pStyle w:val="NoSpacing"/>
              <w:rPr>
                <w:rFonts w:cs="Arial"/>
              </w:rPr>
            </w:pPr>
          </w:p>
        </w:tc>
      </w:tr>
      <w:tr w:rsidR="00DE34F4" w:rsidRPr="00F448BD" w14:paraId="5A8B9E8E" w14:textId="77777777" w:rsidTr="00C738A8">
        <w:tc>
          <w:tcPr>
            <w:tcW w:w="750" w:type="dxa"/>
          </w:tcPr>
          <w:p w14:paraId="3A11325B" w14:textId="77777777" w:rsidR="00DE34F4" w:rsidRPr="00AA02C3" w:rsidRDefault="00DE34F4" w:rsidP="00C738A8">
            <w:pPr>
              <w:pStyle w:val="NoSpacing"/>
              <w:rPr>
                <w:rFonts w:ascii="Arial" w:hAnsi="Arial" w:cs="Arial"/>
              </w:rPr>
            </w:pPr>
            <w:r>
              <w:rPr>
                <w:rFonts w:ascii="Arial" w:hAnsi="Arial" w:cs="Arial"/>
              </w:rPr>
              <w:t>3.11</w:t>
            </w:r>
          </w:p>
        </w:tc>
        <w:tc>
          <w:tcPr>
            <w:tcW w:w="7472" w:type="dxa"/>
          </w:tcPr>
          <w:p w14:paraId="7605E0BD" w14:textId="78853702" w:rsidR="00DE34F4" w:rsidRPr="00F448BD" w:rsidRDefault="00BC6D75" w:rsidP="008D6A18">
            <w:pPr>
              <w:pStyle w:val="NoSpacing"/>
              <w:rPr>
                <w:rFonts w:cs="Arial"/>
              </w:rPr>
            </w:pPr>
            <w:r>
              <w:rPr>
                <w:rFonts w:ascii="Arial" w:hAnsi="Arial" w:cs="Arial"/>
              </w:rPr>
              <w:t xml:space="preserve">If a </w:t>
            </w:r>
            <w:r w:rsidRPr="00F448BD">
              <w:rPr>
                <w:rFonts w:ascii="Arial" w:hAnsi="Arial" w:cs="Arial"/>
              </w:rPr>
              <w:t>debtor owe</w:t>
            </w:r>
            <w:r>
              <w:rPr>
                <w:rFonts w:ascii="Arial" w:hAnsi="Arial" w:cs="Arial"/>
              </w:rPr>
              <w:t>s</w:t>
            </w:r>
            <w:r w:rsidRPr="00F448BD">
              <w:rPr>
                <w:rFonts w:ascii="Arial" w:hAnsi="Arial" w:cs="Arial"/>
              </w:rPr>
              <w:t xml:space="preserve"> more than one debt to the Council</w:t>
            </w:r>
            <w:r>
              <w:rPr>
                <w:rFonts w:ascii="Arial" w:hAnsi="Arial" w:cs="Arial"/>
              </w:rPr>
              <w:t xml:space="preserve"> and it is possible to offset against monies owed by the Council, the Payments section and service departments involved will determine the hierarchy of debt.  This will give pr</w:t>
            </w:r>
            <w:r w:rsidRPr="00F448BD">
              <w:rPr>
                <w:rFonts w:ascii="Arial" w:hAnsi="Arial" w:cs="Arial"/>
              </w:rPr>
              <w:t xml:space="preserve">iority to </w:t>
            </w:r>
            <w:r>
              <w:rPr>
                <w:rFonts w:ascii="Arial" w:hAnsi="Arial" w:cs="Arial"/>
              </w:rPr>
              <w:t xml:space="preserve">higher value </w:t>
            </w:r>
            <w:r w:rsidRPr="00F448BD">
              <w:rPr>
                <w:rFonts w:ascii="Arial" w:hAnsi="Arial" w:cs="Arial"/>
              </w:rPr>
              <w:t xml:space="preserve">debts where non-payment could lead to the loss of a debtor’s home </w:t>
            </w:r>
            <w:r>
              <w:rPr>
                <w:rFonts w:ascii="Arial" w:hAnsi="Arial" w:cs="Arial"/>
              </w:rPr>
              <w:t>or business.</w:t>
            </w:r>
          </w:p>
        </w:tc>
      </w:tr>
    </w:tbl>
    <w:p w14:paraId="17EA0D07" w14:textId="2124EDA4" w:rsidR="009A1D0B" w:rsidRDefault="009A1D0B" w:rsidP="00DE34F4"/>
    <w:p w14:paraId="20BD5E68" w14:textId="77777777" w:rsidR="009A1D0B" w:rsidRDefault="009A1D0B">
      <w:r>
        <w:br w:type="page"/>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13"/>
      </w:tblGrid>
      <w:tr w:rsidR="00DE34F4" w14:paraId="530003F5" w14:textId="77777777" w:rsidTr="00C738A8">
        <w:tc>
          <w:tcPr>
            <w:tcW w:w="709" w:type="dxa"/>
          </w:tcPr>
          <w:p w14:paraId="09027AF8" w14:textId="77777777" w:rsidR="00DE34F4" w:rsidRPr="00AA02C3" w:rsidRDefault="00DE34F4" w:rsidP="00C738A8">
            <w:pPr>
              <w:pStyle w:val="NoSpacing"/>
              <w:rPr>
                <w:rFonts w:ascii="Arial" w:hAnsi="Arial" w:cs="Arial"/>
                <w:b/>
                <w:bCs/>
              </w:rPr>
            </w:pPr>
            <w:r w:rsidRPr="00AA02C3">
              <w:rPr>
                <w:rFonts w:ascii="Arial" w:hAnsi="Arial" w:cs="Arial"/>
                <w:b/>
                <w:bCs/>
              </w:rPr>
              <w:lastRenderedPageBreak/>
              <w:t>4.</w:t>
            </w:r>
          </w:p>
        </w:tc>
        <w:tc>
          <w:tcPr>
            <w:tcW w:w="7513" w:type="dxa"/>
          </w:tcPr>
          <w:p w14:paraId="3F344320" w14:textId="77777777" w:rsidR="00DE34F4" w:rsidRPr="00AA02C3" w:rsidRDefault="00DE34F4" w:rsidP="00C738A8">
            <w:pPr>
              <w:pStyle w:val="NoSpacing"/>
              <w:jc w:val="both"/>
              <w:rPr>
                <w:rFonts w:ascii="Arial" w:hAnsi="Arial" w:cs="Arial"/>
                <w:b/>
                <w:bCs/>
                <w:u w:val="single"/>
              </w:rPr>
            </w:pPr>
            <w:r w:rsidRPr="00AA02C3">
              <w:rPr>
                <w:rFonts w:ascii="Arial" w:hAnsi="Arial" w:cs="Arial"/>
                <w:b/>
                <w:bCs/>
                <w:u w:val="single"/>
              </w:rPr>
              <w:t>DISPUTED ACCOUNTS</w:t>
            </w:r>
          </w:p>
        </w:tc>
      </w:tr>
      <w:tr w:rsidR="00DE34F4" w14:paraId="664E7633" w14:textId="77777777" w:rsidTr="00C738A8">
        <w:tc>
          <w:tcPr>
            <w:tcW w:w="709" w:type="dxa"/>
          </w:tcPr>
          <w:p w14:paraId="42A4A5F8" w14:textId="77777777" w:rsidR="00DE34F4" w:rsidRPr="00AA02C3" w:rsidRDefault="00DE34F4" w:rsidP="00C738A8">
            <w:pPr>
              <w:pStyle w:val="NoSpacing"/>
              <w:rPr>
                <w:rFonts w:ascii="Arial" w:hAnsi="Arial" w:cs="Arial"/>
              </w:rPr>
            </w:pPr>
          </w:p>
        </w:tc>
        <w:tc>
          <w:tcPr>
            <w:tcW w:w="7513" w:type="dxa"/>
          </w:tcPr>
          <w:p w14:paraId="417FFE60" w14:textId="77777777" w:rsidR="00DE34F4" w:rsidRPr="00AA02C3" w:rsidRDefault="00DE34F4" w:rsidP="00C738A8">
            <w:pPr>
              <w:pStyle w:val="NoSpacing"/>
              <w:jc w:val="both"/>
              <w:rPr>
                <w:rFonts w:ascii="Arial" w:hAnsi="Arial" w:cs="Arial"/>
              </w:rPr>
            </w:pPr>
          </w:p>
        </w:tc>
      </w:tr>
      <w:tr w:rsidR="00DE34F4" w14:paraId="447DE838" w14:textId="77777777" w:rsidTr="00C738A8">
        <w:tc>
          <w:tcPr>
            <w:tcW w:w="709" w:type="dxa"/>
          </w:tcPr>
          <w:p w14:paraId="6B196DBF" w14:textId="77777777" w:rsidR="00DE34F4" w:rsidRPr="00AA02C3" w:rsidRDefault="00DE34F4" w:rsidP="00C738A8">
            <w:pPr>
              <w:pStyle w:val="NoSpacing"/>
              <w:rPr>
                <w:rFonts w:ascii="Arial" w:hAnsi="Arial" w:cs="Arial"/>
              </w:rPr>
            </w:pPr>
            <w:r>
              <w:rPr>
                <w:rFonts w:ascii="Arial" w:hAnsi="Arial" w:cs="Arial"/>
              </w:rPr>
              <w:t>4.1</w:t>
            </w:r>
          </w:p>
        </w:tc>
        <w:tc>
          <w:tcPr>
            <w:tcW w:w="7513" w:type="dxa"/>
          </w:tcPr>
          <w:p w14:paraId="499435D1" w14:textId="77777777" w:rsidR="00DE34F4" w:rsidRPr="00856F17" w:rsidRDefault="00DE34F4" w:rsidP="008D6A18">
            <w:pPr>
              <w:pStyle w:val="NoSpacing"/>
              <w:rPr>
                <w:rFonts w:cs="Arial"/>
              </w:rPr>
            </w:pPr>
            <w:r>
              <w:rPr>
                <w:rFonts w:ascii="Arial" w:hAnsi="Arial" w:cs="Arial"/>
              </w:rPr>
              <w:t>If debtors dispute the debt they can request suspension of r</w:t>
            </w:r>
            <w:r w:rsidRPr="00856F17">
              <w:rPr>
                <w:rFonts w:ascii="Arial" w:hAnsi="Arial" w:cs="Arial"/>
              </w:rPr>
              <w:t>ecovery of debt</w:t>
            </w:r>
            <w:r>
              <w:rPr>
                <w:rFonts w:ascii="Arial" w:hAnsi="Arial" w:cs="Arial"/>
              </w:rPr>
              <w:t xml:space="preserve">.  The Payments Section </w:t>
            </w:r>
            <w:r w:rsidRPr="00856F17">
              <w:rPr>
                <w:rFonts w:ascii="Arial" w:hAnsi="Arial" w:cs="Arial"/>
              </w:rPr>
              <w:t xml:space="preserve">will </w:t>
            </w:r>
            <w:r>
              <w:rPr>
                <w:rFonts w:ascii="Arial" w:hAnsi="Arial" w:cs="Arial"/>
              </w:rPr>
              <w:t xml:space="preserve">suspend the debt </w:t>
            </w:r>
            <w:r w:rsidRPr="00856F17">
              <w:rPr>
                <w:rFonts w:ascii="Arial" w:hAnsi="Arial" w:cs="Arial"/>
              </w:rPr>
              <w:t xml:space="preserve">on the written request of a supervisory staff member within the department raising the transaction. The request must state the reason for the suspension. </w:t>
            </w:r>
          </w:p>
          <w:p w14:paraId="55E16F76" w14:textId="77777777" w:rsidR="00DE34F4" w:rsidRPr="00AA02C3" w:rsidRDefault="00DE34F4" w:rsidP="008D6A18">
            <w:pPr>
              <w:pStyle w:val="NoSpacing"/>
              <w:rPr>
                <w:rFonts w:ascii="Arial" w:hAnsi="Arial" w:cs="Arial"/>
              </w:rPr>
            </w:pPr>
          </w:p>
        </w:tc>
      </w:tr>
      <w:tr w:rsidR="00DE34F4" w14:paraId="393F3FFF" w14:textId="77777777" w:rsidTr="00C738A8">
        <w:tc>
          <w:tcPr>
            <w:tcW w:w="709" w:type="dxa"/>
          </w:tcPr>
          <w:p w14:paraId="2D428AD4" w14:textId="77777777" w:rsidR="00DE34F4" w:rsidRPr="00AA02C3" w:rsidRDefault="00DE34F4" w:rsidP="00C738A8">
            <w:pPr>
              <w:pStyle w:val="NoSpacing"/>
              <w:rPr>
                <w:rFonts w:ascii="Arial" w:hAnsi="Arial" w:cs="Arial"/>
              </w:rPr>
            </w:pPr>
          </w:p>
        </w:tc>
        <w:tc>
          <w:tcPr>
            <w:tcW w:w="7513" w:type="dxa"/>
          </w:tcPr>
          <w:p w14:paraId="6CD4C2BA" w14:textId="77777777" w:rsidR="00DE34F4" w:rsidRPr="00AA02C3" w:rsidRDefault="00DE34F4" w:rsidP="008D6A18">
            <w:pPr>
              <w:pStyle w:val="NoSpacing"/>
              <w:rPr>
                <w:rFonts w:ascii="Arial" w:hAnsi="Arial" w:cs="Arial"/>
              </w:rPr>
            </w:pPr>
          </w:p>
        </w:tc>
      </w:tr>
      <w:tr w:rsidR="00DE34F4" w14:paraId="21162C9E" w14:textId="77777777" w:rsidTr="00C738A8">
        <w:tc>
          <w:tcPr>
            <w:tcW w:w="709" w:type="dxa"/>
          </w:tcPr>
          <w:p w14:paraId="4A86FF2A" w14:textId="77777777" w:rsidR="00DE34F4" w:rsidRPr="00AA02C3" w:rsidRDefault="00DE34F4" w:rsidP="00C738A8">
            <w:pPr>
              <w:pStyle w:val="NoSpacing"/>
              <w:rPr>
                <w:rFonts w:ascii="Arial" w:hAnsi="Arial" w:cs="Arial"/>
              </w:rPr>
            </w:pPr>
            <w:r>
              <w:rPr>
                <w:rFonts w:ascii="Arial" w:hAnsi="Arial" w:cs="Arial"/>
              </w:rPr>
              <w:t>4.2</w:t>
            </w:r>
          </w:p>
        </w:tc>
        <w:tc>
          <w:tcPr>
            <w:tcW w:w="7513" w:type="dxa"/>
          </w:tcPr>
          <w:p w14:paraId="37F7CCD1" w14:textId="7ACD1818" w:rsidR="00DE34F4" w:rsidRPr="00856F17" w:rsidRDefault="00DE34F4" w:rsidP="008D6A18">
            <w:pPr>
              <w:pStyle w:val="NoSpacing"/>
              <w:rPr>
                <w:rFonts w:cs="Arial"/>
              </w:rPr>
            </w:pPr>
            <w:r w:rsidRPr="00856F17">
              <w:rPr>
                <w:rFonts w:ascii="Arial" w:hAnsi="Arial" w:cs="Arial"/>
              </w:rPr>
              <w:t xml:space="preserve">Debts will be suspended for a maximum of 60 days. </w:t>
            </w:r>
            <w:r>
              <w:rPr>
                <w:rFonts w:ascii="Arial" w:hAnsi="Arial" w:cs="Arial"/>
              </w:rPr>
              <w:t>If</w:t>
            </w:r>
            <w:r w:rsidRPr="00856F17">
              <w:rPr>
                <w:rFonts w:ascii="Arial" w:hAnsi="Arial" w:cs="Arial"/>
              </w:rPr>
              <w:t xml:space="preserve"> the debt </w:t>
            </w:r>
            <w:r>
              <w:rPr>
                <w:rFonts w:ascii="Arial" w:hAnsi="Arial" w:cs="Arial"/>
              </w:rPr>
              <w:t xml:space="preserve">is </w:t>
            </w:r>
            <w:r w:rsidRPr="00856F17">
              <w:rPr>
                <w:rFonts w:ascii="Arial" w:hAnsi="Arial" w:cs="Arial"/>
              </w:rPr>
              <w:t>still outstanding after 60 days,</w:t>
            </w:r>
            <w:r>
              <w:rPr>
                <w:rFonts w:ascii="Arial" w:hAnsi="Arial" w:cs="Arial"/>
              </w:rPr>
              <w:t xml:space="preserve"> the Payments Section will raise</w:t>
            </w:r>
            <w:r w:rsidRPr="00856F17">
              <w:rPr>
                <w:rFonts w:ascii="Arial" w:hAnsi="Arial" w:cs="Arial"/>
              </w:rPr>
              <w:t xml:space="preserve"> a credit note and </w:t>
            </w:r>
            <w:r>
              <w:rPr>
                <w:rFonts w:ascii="Arial" w:hAnsi="Arial" w:cs="Arial"/>
              </w:rPr>
              <w:t>re-</w:t>
            </w:r>
            <w:r w:rsidRPr="00856F17">
              <w:rPr>
                <w:rFonts w:ascii="Arial" w:hAnsi="Arial" w:cs="Arial"/>
              </w:rPr>
              <w:t xml:space="preserve">charge the relevant departmental </w:t>
            </w:r>
            <w:r>
              <w:rPr>
                <w:rFonts w:ascii="Arial" w:hAnsi="Arial" w:cs="Arial"/>
              </w:rPr>
              <w:t>budget, unless the department request a longer suspension</w:t>
            </w:r>
            <w:r w:rsidRPr="00856F17">
              <w:rPr>
                <w:rFonts w:ascii="Arial" w:hAnsi="Arial" w:cs="Arial"/>
              </w:rPr>
              <w:t>.</w:t>
            </w:r>
            <w:r>
              <w:rPr>
                <w:rFonts w:ascii="Arial" w:hAnsi="Arial" w:cs="Arial"/>
              </w:rPr>
              <w:t xml:space="preserve">  Such a request must be authorised by the Head of Service.</w:t>
            </w:r>
          </w:p>
          <w:p w14:paraId="3879509B" w14:textId="77777777" w:rsidR="00DE34F4" w:rsidRPr="00AA02C3" w:rsidRDefault="00DE34F4" w:rsidP="008D6A18">
            <w:pPr>
              <w:pStyle w:val="NoSpacing"/>
              <w:rPr>
                <w:rFonts w:ascii="Arial" w:hAnsi="Arial" w:cs="Arial"/>
              </w:rPr>
            </w:pPr>
          </w:p>
        </w:tc>
      </w:tr>
    </w:tbl>
    <w:p w14:paraId="74724F12" w14:textId="55B1C9E8" w:rsidR="00A27F3F" w:rsidRDefault="00A27F3F" w:rsidP="009A1D0B">
      <w:pPr>
        <w:rPr>
          <w:rFonts w:ascii="Times New Roman" w:eastAsia="Times New Roman" w:hAnsi="Times New Roman" w:cs="Arial"/>
          <w:caps/>
          <w:noProof/>
          <w:kern w:val="32"/>
          <w:sz w:val="48"/>
          <w:szCs w:val="28"/>
          <w:lang w:eastAsia="en-GB"/>
          <w14:shadow w14:blurRad="50800" w14:dist="38100" w14:dir="2700000" w14:sx="100000" w14:sy="100000" w14:kx="0" w14:ky="0" w14:algn="tl">
            <w14:srgbClr w14:val="000000">
              <w14:alpha w14:val="60000"/>
            </w14:srgbClr>
          </w14:shadow>
          <w14:ligatures w14:val="none"/>
        </w:rPr>
      </w:pPr>
    </w:p>
    <w:sectPr w:rsidR="00A27F3F" w:rsidSect="009A1D0B">
      <w:headerReference w:type="even" r:id="rId18"/>
      <w:headerReference w:type="default" r:id="rId19"/>
      <w:footerReference w:type="even" r:id="rId20"/>
      <w:footerReference w:type="default" r:id="rId21"/>
      <w:headerReference w:type="first" r:id="rId22"/>
      <w:footerReference w:type="first" r:id="rId23"/>
      <w:pgSz w:w="11906" w:h="16838" w:code="9"/>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5193" w14:textId="77777777" w:rsidR="007A774E" w:rsidRDefault="007A774E" w:rsidP="007A774E">
      <w:pPr>
        <w:spacing w:after="0" w:line="240" w:lineRule="auto"/>
      </w:pPr>
      <w:r>
        <w:separator/>
      </w:r>
    </w:p>
  </w:endnote>
  <w:endnote w:type="continuationSeparator" w:id="0">
    <w:p w14:paraId="4DBE6922" w14:textId="77777777" w:rsidR="007A774E" w:rsidRDefault="007A774E" w:rsidP="007A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3658"/>
      <w:docPartObj>
        <w:docPartGallery w:val="Page Numbers (Bottom of Page)"/>
        <w:docPartUnique/>
      </w:docPartObj>
    </w:sdtPr>
    <w:sdtEndPr/>
    <w:sdtContent>
      <w:p w14:paraId="57B4BF38" w14:textId="77777777" w:rsidR="00DE34F4" w:rsidRDefault="00DE34F4">
        <w:pPr>
          <w:pStyle w:val="Footer"/>
          <w:jc w:val="center"/>
        </w:pPr>
        <w:r w:rsidRPr="00AA02C3">
          <w:rPr>
            <w:color w:val="FFFFFF" w:themeColor="background1"/>
          </w:rPr>
          <w:fldChar w:fldCharType="begin"/>
        </w:r>
        <w:r w:rsidRPr="00AA02C3">
          <w:rPr>
            <w:color w:val="FFFFFF" w:themeColor="background1"/>
          </w:rPr>
          <w:instrText>PAGE   \* MERGEFORMAT</w:instrText>
        </w:r>
        <w:r w:rsidRPr="00AA02C3">
          <w:rPr>
            <w:color w:val="FFFFFF" w:themeColor="background1"/>
          </w:rPr>
          <w:fldChar w:fldCharType="separate"/>
        </w:r>
        <w:r w:rsidRPr="00AA02C3">
          <w:rPr>
            <w:color w:val="FFFFFF" w:themeColor="background1"/>
          </w:rPr>
          <w:t>2</w:t>
        </w:r>
        <w:r w:rsidRPr="00AA02C3">
          <w:rPr>
            <w:color w:val="FFFFFF" w:themeColor="background1"/>
          </w:rPr>
          <w:fldChar w:fldCharType="end"/>
        </w:r>
      </w:p>
    </w:sdtContent>
  </w:sdt>
  <w:p w14:paraId="4C18A0BC" w14:textId="77777777" w:rsidR="00DE34F4" w:rsidRDefault="00DE34F4" w:rsidP="00AA02C3">
    <w:pPr>
      <w:pStyle w:val="Footer"/>
      <w:tabs>
        <w:tab w:val="left" w:pos="5298"/>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526E" w14:textId="77777777" w:rsidR="00DE34F4" w:rsidRDefault="00DE34F4">
    <w:pPr>
      <w:pStyle w:val="Footer"/>
      <w:jc w:val="center"/>
    </w:pPr>
  </w:p>
  <w:p w14:paraId="0A88384E" w14:textId="77777777" w:rsidR="00DE34F4" w:rsidRDefault="00DE34F4" w:rsidP="006D2C16">
    <w:pPr>
      <w:pStyle w:val="Footer"/>
      <w:tabs>
        <w:tab w:val="left" w:pos="1875"/>
      </w:tabs>
    </w:pPr>
    <w:r>
      <w:tab/>
    </w:r>
  </w:p>
  <w:p w14:paraId="26E4C2DB" w14:textId="77777777" w:rsidR="00DE34F4" w:rsidRDefault="00DE34F4" w:rsidP="00AA02C3">
    <w:pPr>
      <w:pStyle w:val="Footer"/>
      <w:tabs>
        <w:tab w:val="left" w:pos="18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74E8" w14:textId="77777777" w:rsidR="00DE34F4" w:rsidRPr="00AA02C3" w:rsidRDefault="00DE34F4">
    <w:pPr>
      <w:pStyle w:val="Footer"/>
      <w:jc w:val="center"/>
      <w:rPr>
        <w:rFonts w:ascii="Arial" w:hAnsi="Arial" w:cs="Arial"/>
      </w:rPr>
    </w:pPr>
    <w:r w:rsidRPr="00AA02C3">
      <w:rPr>
        <w:rFonts w:ascii="Arial" w:hAnsi="Arial" w:cs="Arial"/>
      </w:rPr>
      <w:fldChar w:fldCharType="begin"/>
    </w:r>
    <w:r w:rsidRPr="00AA02C3">
      <w:rPr>
        <w:rFonts w:ascii="Arial" w:hAnsi="Arial" w:cs="Arial"/>
      </w:rPr>
      <w:instrText xml:space="preserve"> PAGE   \* MERGEFORMAT </w:instrText>
    </w:r>
    <w:r w:rsidRPr="00AA02C3">
      <w:rPr>
        <w:rFonts w:ascii="Arial" w:hAnsi="Arial" w:cs="Arial"/>
      </w:rPr>
      <w:fldChar w:fldCharType="separate"/>
    </w:r>
    <w:r w:rsidRPr="00AA02C3">
      <w:rPr>
        <w:rFonts w:ascii="Arial" w:hAnsi="Arial" w:cs="Arial"/>
        <w:noProof/>
      </w:rPr>
      <w:t>1</w:t>
    </w:r>
    <w:r w:rsidRPr="00AA02C3">
      <w:rPr>
        <w:rFonts w:ascii="Arial" w:hAnsi="Arial" w:cs="Arial"/>
        <w:noProof/>
      </w:rPr>
      <w:fldChar w:fldCharType="end"/>
    </w:r>
  </w:p>
  <w:p w14:paraId="0DD4D9BA" w14:textId="77777777" w:rsidR="00DE34F4" w:rsidRDefault="00DE34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1B5" w14:textId="77777777" w:rsidR="007A774E" w:rsidRDefault="007A7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648386"/>
      <w:docPartObj>
        <w:docPartGallery w:val="Page Numbers (Bottom of Page)"/>
        <w:docPartUnique/>
      </w:docPartObj>
    </w:sdtPr>
    <w:sdtContent>
      <w:p w14:paraId="5AA21E7B" w14:textId="33535017" w:rsidR="009A1D0B" w:rsidRDefault="009A1D0B">
        <w:pPr>
          <w:pStyle w:val="Footer"/>
          <w:jc w:val="center"/>
        </w:pPr>
        <w:r>
          <w:fldChar w:fldCharType="begin"/>
        </w:r>
        <w:r>
          <w:instrText>PAGE   \* MERGEFORMAT</w:instrText>
        </w:r>
        <w:r>
          <w:fldChar w:fldCharType="separate"/>
        </w:r>
        <w:r>
          <w:t>2</w:t>
        </w:r>
        <w:r>
          <w:fldChar w:fldCharType="end"/>
        </w:r>
      </w:p>
    </w:sdtContent>
  </w:sdt>
  <w:p w14:paraId="6AEED232" w14:textId="77777777" w:rsidR="007A774E" w:rsidRDefault="007A7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0AA5" w14:textId="77777777" w:rsidR="007A774E" w:rsidRDefault="007A7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9B0A" w14:textId="77777777" w:rsidR="007A774E" w:rsidRDefault="007A774E" w:rsidP="007A774E">
      <w:pPr>
        <w:spacing w:after="0" w:line="240" w:lineRule="auto"/>
      </w:pPr>
      <w:r>
        <w:separator/>
      </w:r>
    </w:p>
  </w:footnote>
  <w:footnote w:type="continuationSeparator" w:id="0">
    <w:p w14:paraId="16D2D92F" w14:textId="77777777" w:rsidR="007A774E" w:rsidRDefault="007A774E" w:rsidP="007A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27EF" w14:textId="6013F2CE" w:rsidR="00852904" w:rsidRDefault="00852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3198" w14:textId="7B3CA119" w:rsidR="007A774E" w:rsidRDefault="007A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B529" w14:textId="5FFD2641" w:rsidR="007A774E" w:rsidRDefault="007A7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5D15" w14:textId="3E526D6C" w:rsidR="007A774E" w:rsidRDefault="007A7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421"/>
    <w:multiLevelType w:val="hybridMultilevel"/>
    <w:tmpl w:val="8AE2769E"/>
    <w:lvl w:ilvl="0" w:tplc="218A10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C7A16"/>
    <w:multiLevelType w:val="hybridMultilevel"/>
    <w:tmpl w:val="DC88FB7C"/>
    <w:lvl w:ilvl="0" w:tplc="15BE9782">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17049"/>
    <w:multiLevelType w:val="hybridMultilevel"/>
    <w:tmpl w:val="C6B46488"/>
    <w:lvl w:ilvl="0" w:tplc="DFA8EE8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E43FB"/>
    <w:multiLevelType w:val="hybridMultilevel"/>
    <w:tmpl w:val="553AF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B3491"/>
    <w:multiLevelType w:val="hybridMultilevel"/>
    <w:tmpl w:val="B888EB2E"/>
    <w:lvl w:ilvl="0" w:tplc="0BB2195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E7A20"/>
    <w:multiLevelType w:val="multilevel"/>
    <w:tmpl w:val="D688DF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6A25531"/>
    <w:multiLevelType w:val="hybridMultilevel"/>
    <w:tmpl w:val="E2D6E2D2"/>
    <w:lvl w:ilvl="0" w:tplc="346EB072">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45967"/>
    <w:multiLevelType w:val="hybridMultilevel"/>
    <w:tmpl w:val="23ACD8C8"/>
    <w:lvl w:ilvl="0" w:tplc="7C600A2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75161"/>
    <w:multiLevelType w:val="hybridMultilevel"/>
    <w:tmpl w:val="7138FB36"/>
    <w:lvl w:ilvl="0" w:tplc="245E8C6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F0D4D"/>
    <w:multiLevelType w:val="multilevel"/>
    <w:tmpl w:val="07E407E4"/>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440" w:hanging="720"/>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3EF20A20"/>
    <w:multiLevelType w:val="hybridMultilevel"/>
    <w:tmpl w:val="1E18D604"/>
    <w:lvl w:ilvl="0" w:tplc="E81E8E8A">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172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09581F"/>
    <w:multiLevelType w:val="multilevel"/>
    <w:tmpl w:val="DF72B9BA"/>
    <w:lvl w:ilvl="0">
      <w:start w:val="2"/>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080"/>
        </w:tabs>
        <w:ind w:left="1080" w:hanging="1080"/>
      </w:pPr>
      <w:rPr>
        <w:rFonts w:hint="default"/>
        <w:sz w:val="24"/>
      </w:rPr>
    </w:lvl>
    <w:lvl w:ilvl="6">
      <w:start w:val="1"/>
      <w:numFmt w:val="decimal"/>
      <w:isLgl/>
      <w:lvlText w:val="%1.%2.%3.%4.%5.%6.%7"/>
      <w:lvlJc w:val="left"/>
      <w:pPr>
        <w:tabs>
          <w:tab w:val="num" w:pos="1440"/>
        </w:tabs>
        <w:ind w:left="1440" w:hanging="1440"/>
      </w:pPr>
      <w:rPr>
        <w:rFonts w:hint="default"/>
        <w:sz w:val="24"/>
      </w:rPr>
    </w:lvl>
    <w:lvl w:ilvl="7">
      <w:start w:val="1"/>
      <w:numFmt w:val="decimal"/>
      <w:isLgl/>
      <w:lvlText w:val="%1.%2.%3.%4.%5.%6.%7.%8"/>
      <w:lvlJc w:val="left"/>
      <w:pPr>
        <w:tabs>
          <w:tab w:val="num" w:pos="1440"/>
        </w:tabs>
        <w:ind w:left="1440" w:hanging="1440"/>
      </w:pPr>
      <w:rPr>
        <w:rFonts w:hint="default"/>
        <w:sz w:val="24"/>
      </w:rPr>
    </w:lvl>
    <w:lvl w:ilvl="8">
      <w:start w:val="1"/>
      <w:numFmt w:val="decimal"/>
      <w:isLgl/>
      <w:lvlText w:val="%1.%2.%3.%4.%5.%6.%7.%8.%9"/>
      <w:lvlJc w:val="left"/>
      <w:pPr>
        <w:tabs>
          <w:tab w:val="num" w:pos="1800"/>
        </w:tabs>
        <w:ind w:left="1800" w:hanging="1800"/>
      </w:pPr>
      <w:rPr>
        <w:rFonts w:hint="default"/>
        <w:sz w:val="24"/>
      </w:rPr>
    </w:lvl>
  </w:abstractNum>
  <w:abstractNum w:abstractNumId="13" w15:restartNumberingAfterBreak="0">
    <w:nsid w:val="53DB2E23"/>
    <w:multiLevelType w:val="hybridMultilevel"/>
    <w:tmpl w:val="D5F0F970"/>
    <w:lvl w:ilvl="0" w:tplc="CBB4325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5E92603C"/>
    <w:multiLevelType w:val="hybridMultilevel"/>
    <w:tmpl w:val="68C6DFB2"/>
    <w:lvl w:ilvl="0" w:tplc="7C600A2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375877"/>
    <w:multiLevelType w:val="hybridMultilevel"/>
    <w:tmpl w:val="0B8A328A"/>
    <w:lvl w:ilvl="0" w:tplc="792860E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254C8"/>
    <w:multiLevelType w:val="hybridMultilevel"/>
    <w:tmpl w:val="96C47E7A"/>
    <w:lvl w:ilvl="0" w:tplc="61BA766C">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A4C59"/>
    <w:multiLevelType w:val="hybridMultilevel"/>
    <w:tmpl w:val="55EA75C6"/>
    <w:lvl w:ilvl="0" w:tplc="BAF04392">
      <w:start w:val="1"/>
      <w:numFmt w:val="decimal"/>
      <w:lvlText w:val="Section %1."/>
      <w:lvlJc w:val="left"/>
      <w:pPr>
        <w:tabs>
          <w:tab w:val="num" w:pos="1800"/>
        </w:tabs>
        <w:ind w:left="1800" w:hanging="1800"/>
      </w:pPr>
      <w:rPr>
        <w:rFonts w:hint="default"/>
      </w:rPr>
    </w:lvl>
    <w:lvl w:ilvl="1" w:tplc="A57024D0" w:tentative="1">
      <w:start w:val="1"/>
      <w:numFmt w:val="lowerLetter"/>
      <w:lvlText w:val="%2."/>
      <w:lvlJc w:val="left"/>
      <w:pPr>
        <w:tabs>
          <w:tab w:val="num" w:pos="1080"/>
        </w:tabs>
        <w:ind w:left="1080" w:hanging="360"/>
      </w:pPr>
    </w:lvl>
    <w:lvl w:ilvl="2" w:tplc="B4F6E948" w:tentative="1">
      <w:start w:val="1"/>
      <w:numFmt w:val="lowerRoman"/>
      <w:lvlText w:val="%3."/>
      <w:lvlJc w:val="right"/>
      <w:pPr>
        <w:tabs>
          <w:tab w:val="num" w:pos="1800"/>
        </w:tabs>
        <w:ind w:left="1800" w:hanging="180"/>
      </w:pPr>
    </w:lvl>
    <w:lvl w:ilvl="3" w:tplc="2E76C91E" w:tentative="1">
      <w:start w:val="1"/>
      <w:numFmt w:val="decimal"/>
      <w:lvlText w:val="%4."/>
      <w:lvlJc w:val="left"/>
      <w:pPr>
        <w:tabs>
          <w:tab w:val="num" w:pos="2520"/>
        </w:tabs>
        <w:ind w:left="2520" w:hanging="360"/>
      </w:pPr>
    </w:lvl>
    <w:lvl w:ilvl="4" w:tplc="11DC68FC" w:tentative="1">
      <w:start w:val="1"/>
      <w:numFmt w:val="lowerLetter"/>
      <w:lvlText w:val="%5."/>
      <w:lvlJc w:val="left"/>
      <w:pPr>
        <w:tabs>
          <w:tab w:val="num" w:pos="3240"/>
        </w:tabs>
        <w:ind w:left="3240" w:hanging="360"/>
      </w:pPr>
    </w:lvl>
    <w:lvl w:ilvl="5" w:tplc="2B8C0010" w:tentative="1">
      <w:start w:val="1"/>
      <w:numFmt w:val="lowerRoman"/>
      <w:lvlText w:val="%6."/>
      <w:lvlJc w:val="right"/>
      <w:pPr>
        <w:tabs>
          <w:tab w:val="num" w:pos="3960"/>
        </w:tabs>
        <w:ind w:left="3960" w:hanging="180"/>
      </w:pPr>
    </w:lvl>
    <w:lvl w:ilvl="6" w:tplc="9EEC4D9C" w:tentative="1">
      <w:start w:val="1"/>
      <w:numFmt w:val="decimal"/>
      <w:lvlText w:val="%7."/>
      <w:lvlJc w:val="left"/>
      <w:pPr>
        <w:tabs>
          <w:tab w:val="num" w:pos="4680"/>
        </w:tabs>
        <w:ind w:left="4680" w:hanging="360"/>
      </w:pPr>
    </w:lvl>
    <w:lvl w:ilvl="7" w:tplc="AA3EB39C" w:tentative="1">
      <w:start w:val="1"/>
      <w:numFmt w:val="lowerLetter"/>
      <w:lvlText w:val="%8."/>
      <w:lvlJc w:val="left"/>
      <w:pPr>
        <w:tabs>
          <w:tab w:val="num" w:pos="5400"/>
        </w:tabs>
        <w:ind w:left="5400" w:hanging="360"/>
      </w:pPr>
    </w:lvl>
    <w:lvl w:ilvl="8" w:tplc="12B06434" w:tentative="1">
      <w:start w:val="1"/>
      <w:numFmt w:val="lowerRoman"/>
      <w:lvlText w:val="%9."/>
      <w:lvlJc w:val="right"/>
      <w:pPr>
        <w:tabs>
          <w:tab w:val="num" w:pos="6120"/>
        </w:tabs>
        <w:ind w:left="6120" w:hanging="180"/>
      </w:pPr>
    </w:lvl>
  </w:abstractNum>
  <w:abstractNum w:abstractNumId="18" w15:restartNumberingAfterBreak="0">
    <w:nsid w:val="7EFF608D"/>
    <w:multiLevelType w:val="multilevel"/>
    <w:tmpl w:val="2B407B34"/>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440" w:hanging="720"/>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461120177">
    <w:abstractNumId w:val="3"/>
  </w:num>
  <w:num w:numId="2" w16cid:durableId="2052340825">
    <w:abstractNumId w:val="5"/>
  </w:num>
  <w:num w:numId="3" w16cid:durableId="1779639986">
    <w:abstractNumId w:val="8"/>
  </w:num>
  <w:num w:numId="4" w16cid:durableId="333998824">
    <w:abstractNumId w:val="2"/>
  </w:num>
  <w:num w:numId="5" w16cid:durableId="1673802804">
    <w:abstractNumId w:val="15"/>
  </w:num>
  <w:num w:numId="6" w16cid:durableId="1430153564">
    <w:abstractNumId w:val="10"/>
  </w:num>
  <w:num w:numId="7" w16cid:durableId="610867935">
    <w:abstractNumId w:val="1"/>
  </w:num>
  <w:num w:numId="8" w16cid:durableId="953562748">
    <w:abstractNumId w:val="16"/>
  </w:num>
  <w:num w:numId="9" w16cid:durableId="1341933843">
    <w:abstractNumId w:val="6"/>
  </w:num>
  <w:num w:numId="10" w16cid:durableId="1515413534">
    <w:abstractNumId w:val="7"/>
  </w:num>
  <w:num w:numId="11" w16cid:durableId="1797019536">
    <w:abstractNumId w:val="0"/>
  </w:num>
  <w:num w:numId="12" w16cid:durableId="1887377064">
    <w:abstractNumId w:val="14"/>
  </w:num>
  <w:num w:numId="13" w16cid:durableId="1240365808">
    <w:abstractNumId w:val="4"/>
  </w:num>
  <w:num w:numId="14" w16cid:durableId="1705520932">
    <w:abstractNumId w:val="13"/>
  </w:num>
  <w:num w:numId="15" w16cid:durableId="431971637">
    <w:abstractNumId w:val="12"/>
  </w:num>
  <w:num w:numId="16" w16cid:durableId="112409445">
    <w:abstractNumId w:val="11"/>
  </w:num>
  <w:num w:numId="17" w16cid:durableId="1208224707">
    <w:abstractNumId w:val="18"/>
  </w:num>
  <w:num w:numId="18" w16cid:durableId="1763379529">
    <w:abstractNumId w:val="9"/>
  </w:num>
  <w:num w:numId="19" w16cid:durableId="10494561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F2"/>
    <w:rsid w:val="00006DEB"/>
    <w:rsid w:val="00050672"/>
    <w:rsid w:val="000719D2"/>
    <w:rsid w:val="00093372"/>
    <w:rsid w:val="000A73BF"/>
    <w:rsid w:val="0011473D"/>
    <w:rsid w:val="00123E7B"/>
    <w:rsid w:val="001367F8"/>
    <w:rsid w:val="001A6C94"/>
    <w:rsid w:val="001C5677"/>
    <w:rsid w:val="001F18BC"/>
    <w:rsid w:val="00213C74"/>
    <w:rsid w:val="00233026"/>
    <w:rsid w:val="00266AD6"/>
    <w:rsid w:val="002E78D4"/>
    <w:rsid w:val="00300A0F"/>
    <w:rsid w:val="003569B0"/>
    <w:rsid w:val="00381AAB"/>
    <w:rsid w:val="003C13D5"/>
    <w:rsid w:val="003C7813"/>
    <w:rsid w:val="004105FC"/>
    <w:rsid w:val="00423B93"/>
    <w:rsid w:val="004302CC"/>
    <w:rsid w:val="00461C3A"/>
    <w:rsid w:val="00486BA8"/>
    <w:rsid w:val="004D339C"/>
    <w:rsid w:val="0052779A"/>
    <w:rsid w:val="00541A4F"/>
    <w:rsid w:val="00546AEB"/>
    <w:rsid w:val="005673FB"/>
    <w:rsid w:val="00567989"/>
    <w:rsid w:val="005A2168"/>
    <w:rsid w:val="005B2EA2"/>
    <w:rsid w:val="005D3E5B"/>
    <w:rsid w:val="006221F2"/>
    <w:rsid w:val="006614DA"/>
    <w:rsid w:val="006A5B4E"/>
    <w:rsid w:val="006C618D"/>
    <w:rsid w:val="006D11A4"/>
    <w:rsid w:val="00704B91"/>
    <w:rsid w:val="00727ACC"/>
    <w:rsid w:val="007642F5"/>
    <w:rsid w:val="00765803"/>
    <w:rsid w:val="00771AD6"/>
    <w:rsid w:val="007A4D82"/>
    <w:rsid w:val="007A6BC4"/>
    <w:rsid w:val="007A774E"/>
    <w:rsid w:val="007F056D"/>
    <w:rsid w:val="00842D16"/>
    <w:rsid w:val="0084496E"/>
    <w:rsid w:val="00852904"/>
    <w:rsid w:val="00853C0A"/>
    <w:rsid w:val="00897F62"/>
    <w:rsid w:val="008B36B9"/>
    <w:rsid w:val="008C0FC8"/>
    <w:rsid w:val="008D26EF"/>
    <w:rsid w:val="008D2CE1"/>
    <w:rsid w:val="008D35AD"/>
    <w:rsid w:val="008D6A18"/>
    <w:rsid w:val="008D79AF"/>
    <w:rsid w:val="008F2E8D"/>
    <w:rsid w:val="00911E45"/>
    <w:rsid w:val="00920F4B"/>
    <w:rsid w:val="00921578"/>
    <w:rsid w:val="00931A72"/>
    <w:rsid w:val="00932B4E"/>
    <w:rsid w:val="00935DCF"/>
    <w:rsid w:val="009A1D0B"/>
    <w:rsid w:val="009B6C13"/>
    <w:rsid w:val="009E0674"/>
    <w:rsid w:val="00A01CC7"/>
    <w:rsid w:val="00A2358F"/>
    <w:rsid w:val="00A27F3F"/>
    <w:rsid w:val="00A74BD6"/>
    <w:rsid w:val="00AA019C"/>
    <w:rsid w:val="00AA24BE"/>
    <w:rsid w:val="00B03CC2"/>
    <w:rsid w:val="00B11655"/>
    <w:rsid w:val="00B7093A"/>
    <w:rsid w:val="00B80F9F"/>
    <w:rsid w:val="00B81620"/>
    <w:rsid w:val="00B932D6"/>
    <w:rsid w:val="00BB7920"/>
    <w:rsid w:val="00BC6D75"/>
    <w:rsid w:val="00BC7606"/>
    <w:rsid w:val="00BF75F9"/>
    <w:rsid w:val="00C00B63"/>
    <w:rsid w:val="00C00D7E"/>
    <w:rsid w:val="00C34613"/>
    <w:rsid w:val="00C368F2"/>
    <w:rsid w:val="00C50AAA"/>
    <w:rsid w:val="00CB311B"/>
    <w:rsid w:val="00CD1D76"/>
    <w:rsid w:val="00CE1110"/>
    <w:rsid w:val="00CF7B47"/>
    <w:rsid w:val="00D14892"/>
    <w:rsid w:val="00D16F57"/>
    <w:rsid w:val="00D86821"/>
    <w:rsid w:val="00DA1D27"/>
    <w:rsid w:val="00DD1DA8"/>
    <w:rsid w:val="00DE34F4"/>
    <w:rsid w:val="00E0348E"/>
    <w:rsid w:val="00E14548"/>
    <w:rsid w:val="00E5103A"/>
    <w:rsid w:val="00E601FF"/>
    <w:rsid w:val="00E72AB1"/>
    <w:rsid w:val="00F73626"/>
    <w:rsid w:val="00F9065A"/>
    <w:rsid w:val="00FC4305"/>
    <w:rsid w:val="00FD1725"/>
    <w:rsid w:val="00FF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A9CB370"/>
  <w15:chartTrackingRefBased/>
  <w15:docId w15:val="{A5B8A2A8-1CFB-4BD2-9D93-F495410E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23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23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23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23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23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E7B"/>
    <w:rPr>
      <w:rFonts w:eastAsiaTheme="majorEastAsia" w:cstheme="majorBidi"/>
      <w:color w:val="272727" w:themeColor="text1" w:themeTint="D8"/>
    </w:rPr>
  </w:style>
  <w:style w:type="paragraph" w:styleId="Title">
    <w:name w:val="Title"/>
    <w:basedOn w:val="Normal"/>
    <w:next w:val="Normal"/>
    <w:link w:val="TitleChar"/>
    <w:uiPriority w:val="10"/>
    <w:qFormat/>
    <w:rsid w:val="00123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E7B"/>
    <w:pPr>
      <w:spacing w:before="160"/>
      <w:jc w:val="center"/>
    </w:pPr>
    <w:rPr>
      <w:i/>
      <w:iCs/>
      <w:color w:val="404040" w:themeColor="text1" w:themeTint="BF"/>
    </w:rPr>
  </w:style>
  <w:style w:type="character" w:customStyle="1" w:styleId="QuoteChar">
    <w:name w:val="Quote Char"/>
    <w:basedOn w:val="DefaultParagraphFont"/>
    <w:link w:val="Quote"/>
    <w:uiPriority w:val="29"/>
    <w:rsid w:val="00123E7B"/>
    <w:rPr>
      <w:i/>
      <w:iCs/>
      <w:color w:val="404040" w:themeColor="text1" w:themeTint="BF"/>
    </w:rPr>
  </w:style>
  <w:style w:type="paragraph" w:styleId="ListParagraph">
    <w:name w:val="List Paragraph"/>
    <w:basedOn w:val="Normal"/>
    <w:uiPriority w:val="34"/>
    <w:qFormat/>
    <w:rsid w:val="00123E7B"/>
    <w:pPr>
      <w:ind w:left="720"/>
      <w:contextualSpacing/>
    </w:pPr>
  </w:style>
  <w:style w:type="character" w:styleId="IntenseEmphasis">
    <w:name w:val="Intense Emphasis"/>
    <w:basedOn w:val="DefaultParagraphFont"/>
    <w:uiPriority w:val="21"/>
    <w:qFormat/>
    <w:rsid w:val="00123E7B"/>
    <w:rPr>
      <w:i/>
      <w:iCs/>
      <w:color w:val="0F4761" w:themeColor="accent1" w:themeShade="BF"/>
    </w:rPr>
  </w:style>
  <w:style w:type="paragraph" w:styleId="IntenseQuote">
    <w:name w:val="Intense Quote"/>
    <w:basedOn w:val="Normal"/>
    <w:next w:val="Normal"/>
    <w:link w:val="IntenseQuoteChar"/>
    <w:uiPriority w:val="30"/>
    <w:qFormat/>
    <w:rsid w:val="00123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E7B"/>
    <w:rPr>
      <w:i/>
      <w:iCs/>
      <w:color w:val="0F4761" w:themeColor="accent1" w:themeShade="BF"/>
    </w:rPr>
  </w:style>
  <w:style w:type="character" w:styleId="IntenseReference">
    <w:name w:val="Intense Reference"/>
    <w:basedOn w:val="DefaultParagraphFont"/>
    <w:uiPriority w:val="32"/>
    <w:qFormat/>
    <w:rsid w:val="00123E7B"/>
    <w:rPr>
      <w:b/>
      <w:bCs/>
      <w:smallCaps/>
      <w:color w:val="0F4761" w:themeColor="accent1" w:themeShade="BF"/>
      <w:spacing w:val="5"/>
    </w:rPr>
  </w:style>
  <w:style w:type="table" w:styleId="TableGrid">
    <w:name w:val="Table Grid"/>
    <w:basedOn w:val="TableNormal"/>
    <w:uiPriority w:val="59"/>
    <w:rsid w:val="00123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EB"/>
    <w:pPr>
      <w:spacing w:after="0" w:line="240" w:lineRule="auto"/>
    </w:pPr>
  </w:style>
  <w:style w:type="character" w:styleId="CommentReference">
    <w:name w:val="annotation reference"/>
    <w:basedOn w:val="DefaultParagraphFont"/>
    <w:uiPriority w:val="99"/>
    <w:semiHidden/>
    <w:unhideWhenUsed/>
    <w:rsid w:val="00567989"/>
    <w:rPr>
      <w:sz w:val="16"/>
      <w:szCs w:val="16"/>
    </w:rPr>
  </w:style>
  <w:style w:type="paragraph" w:styleId="CommentText">
    <w:name w:val="annotation text"/>
    <w:basedOn w:val="Normal"/>
    <w:link w:val="CommentTextChar"/>
    <w:uiPriority w:val="99"/>
    <w:unhideWhenUsed/>
    <w:rsid w:val="00567989"/>
    <w:pPr>
      <w:spacing w:line="240" w:lineRule="auto"/>
    </w:pPr>
    <w:rPr>
      <w:sz w:val="20"/>
      <w:szCs w:val="20"/>
    </w:rPr>
  </w:style>
  <w:style w:type="character" w:customStyle="1" w:styleId="CommentTextChar">
    <w:name w:val="Comment Text Char"/>
    <w:basedOn w:val="DefaultParagraphFont"/>
    <w:link w:val="CommentText"/>
    <w:uiPriority w:val="99"/>
    <w:rsid w:val="00567989"/>
    <w:rPr>
      <w:sz w:val="20"/>
      <w:szCs w:val="20"/>
    </w:rPr>
  </w:style>
  <w:style w:type="paragraph" w:styleId="CommentSubject">
    <w:name w:val="annotation subject"/>
    <w:basedOn w:val="CommentText"/>
    <w:next w:val="CommentText"/>
    <w:link w:val="CommentSubjectChar"/>
    <w:uiPriority w:val="99"/>
    <w:semiHidden/>
    <w:unhideWhenUsed/>
    <w:rsid w:val="00567989"/>
    <w:rPr>
      <w:b/>
      <w:bCs/>
    </w:rPr>
  </w:style>
  <w:style w:type="character" w:customStyle="1" w:styleId="CommentSubjectChar">
    <w:name w:val="Comment Subject Char"/>
    <w:basedOn w:val="CommentTextChar"/>
    <w:link w:val="CommentSubject"/>
    <w:uiPriority w:val="99"/>
    <w:semiHidden/>
    <w:rsid w:val="00567989"/>
    <w:rPr>
      <w:b/>
      <w:bCs/>
      <w:sz w:val="20"/>
      <w:szCs w:val="20"/>
    </w:rPr>
  </w:style>
  <w:style w:type="paragraph" w:styleId="Header">
    <w:name w:val="header"/>
    <w:basedOn w:val="Normal"/>
    <w:link w:val="HeaderChar"/>
    <w:unhideWhenUsed/>
    <w:rsid w:val="007A7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74E"/>
  </w:style>
  <w:style w:type="paragraph" w:styleId="Footer">
    <w:name w:val="footer"/>
    <w:basedOn w:val="Normal"/>
    <w:link w:val="FooterChar"/>
    <w:uiPriority w:val="99"/>
    <w:unhideWhenUsed/>
    <w:rsid w:val="007A7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74E"/>
  </w:style>
  <w:style w:type="character" w:styleId="Hyperlink">
    <w:name w:val="Hyperlink"/>
    <w:basedOn w:val="DefaultParagraphFont"/>
    <w:uiPriority w:val="99"/>
    <w:unhideWhenUsed/>
    <w:rsid w:val="00233026"/>
    <w:rPr>
      <w:color w:val="467886" w:themeColor="hyperlink"/>
      <w:u w:val="single"/>
    </w:rPr>
  </w:style>
  <w:style w:type="character" w:styleId="UnresolvedMention">
    <w:name w:val="Unresolved Mention"/>
    <w:basedOn w:val="DefaultParagraphFont"/>
    <w:uiPriority w:val="99"/>
    <w:semiHidden/>
    <w:unhideWhenUsed/>
    <w:rsid w:val="00233026"/>
    <w:rPr>
      <w:color w:val="605E5C"/>
      <w:shd w:val="clear" w:color="auto" w:fill="E1DFDD"/>
    </w:rPr>
  </w:style>
  <w:style w:type="paragraph" w:customStyle="1" w:styleId="ABCSectionHeader">
    <w:name w:val="ABC Section Header"/>
    <w:basedOn w:val="Heading2"/>
    <w:autoRedefine/>
    <w:rsid w:val="00DE34F4"/>
    <w:pPr>
      <w:keepLines w:val="0"/>
      <w:shd w:val="clear" w:color="auto" w:fill="FFFF00"/>
      <w:tabs>
        <w:tab w:val="num" w:pos="720"/>
      </w:tabs>
      <w:spacing w:before="240" w:after="60" w:line="240" w:lineRule="auto"/>
      <w:ind w:left="709" w:hanging="709"/>
    </w:pPr>
    <w:rPr>
      <w:rFonts w:ascii="Arial" w:eastAsia="Times New Roman" w:hAnsi="Arial" w:cs="Arial"/>
      <w:b/>
      <w:bCs/>
      <w:iCs/>
      <w:color w:val="auto"/>
      <w:kern w:val="0"/>
      <w:sz w:val="28"/>
      <w:szCs w:val="28"/>
      <w14:ligatures w14:val="none"/>
    </w:rPr>
  </w:style>
  <w:style w:type="paragraph" w:customStyle="1" w:styleId="ABCChapterHeading">
    <w:name w:val="ABC Chapter Heading"/>
    <w:basedOn w:val="Normal"/>
    <w:autoRedefine/>
    <w:rsid w:val="008D6A18"/>
    <w:pPr>
      <w:keepNext/>
      <w:spacing w:before="240" w:after="60" w:line="240" w:lineRule="auto"/>
      <w:jc w:val="center"/>
      <w:outlineLvl w:val="0"/>
    </w:pPr>
    <w:rPr>
      <w:rFonts w:ascii="Arial" w:eastAsia="Times New Roman" w:hAnsi="Arial" w:cs="Arial"/>
      <w:caps/>
      <w:noProof/>
      <w:kern w:val="32"/>
      <w:sz w:val="28"/>
      <w:szCs w:val="28"/>
      <w:lang w:eastAsia="en-GB"/>
      <w14:shadow w14:blurRad="50800" w14:dist="38100" w14:dir="2700000" w14:sx="100000" w14:sy="100000" w14:kx="0" w14:ky="0" w14:algn="tl">
        <w14:srgbClr w14:val="000000">
          <w14:alpha w14:val="60000"/>
        </w14:srgbClr>
      </w14:shadow>
      <w14:ligatures w14:val="none"/>
    </w:rPr>
  </w:style>
  <w:style w:type="paragraph" w:customStyle="1" w:styleId="ABCLevel1">
    <w:name w:val="ABC Level 1"/>
    <w:basedOn w:val="Normal"/>
    <w:rsid w:val="00DE34F4"/>
    <w:pPr>
      <w:tabs>
        <w:tab w:val="num" w:pos="720"/>
      </w:tabs>
      <w:spacing w:before="240" w:after="0" w:line="240" w:lineRule="auto"/>
      <w:ind w:left="720" w:hanging="720"/>
      <w:jc w:val="both"/>
    </w:pPr>
    <w:rPr>
      <w:rFonts w:ascii="Arial" w:eastAsia="Times New Roman" w:hAnsi="Arial" w:cs="Times New Roman"/>
      <w:kern w:val="0"/>
      <w:sz w:val="20"/>
      <w14:ligatures w14:val="none"/>
    </w:rPr>
  </w:style>
  <w:style w:type="paragraph" w:customStyle="1" w:styleId="ABCLevel2">
    <w:name w:val="ABC Level 2"/>
    <w:basedOn w:val="ABCLevel1"/>
    <w:rsid w:val="00DE34F4"/>
    <w:pPr>
      <w:tabs>
        <w:tab w:val="left" w:pos="720"/>
        <w:tab w:val="num" w:pos="1080"/>
      </w:tabs>
    </w:pPr>
  </w:style>
  <w:style w:type="paragraph" w:styleId="NoSpacing">
    <w:name w:val="No Spacing"/>
    <w:uiPriority w:val="1"/>
    <w:qFormat/>
    <w:rsid w:val="00DE34F4"/>
    <w:pPr>
      <w:spacing w:after="0" w:line="240" w:lineRule="auto"/>
    </w:pPr>
    <w:rPr>
      <w:rFonts w:ascii="Times New Roman" w:eastAsia="Times New Roman" w:hAnsi="Times New Roman" w:cs="Times New Roman"/>
      <w:kern w:val="0"/>
      <w14:ligatures w14:val="none"/>
    </w:rPr>
  </w:style>
  <w:style w:type="character" w:styleId="PageNumber">
    <w:name w:val="page number"/>
    <w:basedOn w:val="DefaultParagraphFont"/>
    <w:semiHidden/>
    <w:rsid w:val="00A2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losureDate xmlns="c44dace1-49c5-45b2-a3fd-8f9663d2bbff" xsi:nil="true"/>
    <_dlc_DocId xmlns="c44dace1-49c5-45b2-a3fd-8f9663d2bbff">SPMAN-1293228629-1329</_dlc_DocId>
    <_dlc_DocIdUrl xmlns="c44dace1-49c5-45b2-a3fd-8f9663d2bbff">
      <Url>http://spman.moray.gov.uk/MANComRepDraftSite/_layouts/15/DocIdRedir.aspx?ID=SPMAN-1293228629-1329</Url>
      <Description>SPMAN-1293228629-1329</Description>
    </_dlc_DocIdUrl>
    <FileRef1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b0682ce8-15e0-4e15-8e2e-9017dca02745</TermId>
        </TermInfo>
      </Terms>
    </bd985bbe68b74225aaf8b24203c90860>
    <TaxCatchAll xmlns="c44dace1-49c5-45b2-a3fd-8f9663d2bbff">
      <Value>771</Value>
    </TaxCatchAll>
    <ReponsibleOfficer xmlns="c44dace1-49c5-45b2-a3fd-8f9663d2bbff">
      <UserInfo>
        <DisplayName/>
        <AccountId xsi:nil="true"/>
        <AccountType/>
      </UserInfo>
    </ReponsibleOfficer>
    <Committee xmlns="c44dace1-49c5-45b2-a3fd-8f9663d2bbff">Moray Council</Committ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ca54b59-a707-4c22-a2e9-1d5b9a326421" ContentTypeId="0x010100F4579FC8C7439B4A81130FDACC7F49890D0423" PreviousValue="false"/>
</file>

<file path=customXml/item5.xml><?xml version="1.0" encoding="utf-8"?>
<ct:contentTypeSchema xmlns:ct="http://schemas.microsoft.com/office/2006/metadata/contentType" xmlns:ma="http://schemas.microsoft.com/office/2006/metadata/properties/metaAttributes" ct:_="" ma:_="" ma:contentTypeName="CORP Committee Report" ma:contentTypeID="0x010100F4579FC8C7439B4A81130FDACC7F49890D04230005BFC5DE2802C94B96436C6D7C8CED77" ma:contentTypeVersion="24" ma:contentTypeDescription="" ma:contentTypeScope="" ma:versionID="15bb5c9b600575e81b2305b9b5b47dae">
  <xsd:schema xmlns:xsd="http://www.w3.org/2001/XMLSchema" xmlns:xs="http://www.w3.org/2001/XMLSchema" xmlns:p="http://schemas.microsoft.com/office/2006/metadata/properties" xmlns:ns2="c44dace1-49c5-45b2-a3fd-8f9663d2bbff" targetNamespace="http://schemas.microsoft.com/office/2006/metadata/properties" ma:root="true" ma:fieldsID="41707d8af42b19c6902fb82006064838"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Corporate Services"/>
          <xsd:enumeration value="Economic Development &amp; Infrastructure Services Committee"/>
          <xsd:enumeration value="Economic Growth, Housing &amp; Environmental Services"/>
          <xsd:enumeration value="Education, Children's Services &amp; Leisure"/>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FA2A815-1753-4B51-AFB5-21C6E4CC1165}">
  <ds:schemaRefs>
    <ds:schemaRef ds:uri="http://schemas.microsoft.com/sharepoint/events"/>
  </ds:schemaRefs>
</ds:datastoreItem>
</file>

<file path=customXml/itemProps2.xml><?xml version="1.0" encoding="utf-8"?>
<ds:datastoreItem xmlns:ds="http://schemas.openxmlformats.org/officeDocument/2006/customXml" ds:itemID="{4E74C9E3-FF28-4063-BA8D-DAD341FDBC11}">
  <ds:schemaRefs>
    <ds:schemaRef ds:uri="http://schemas.openxmlformats.org/package/2006/metadata/core-properties"/>
    <ds:schemaRef ds:uri="c44dace1-49c5-45b2-a3fd-8f9663d2bbff"/>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FE6943B-9C45-4D8E-8C17-2923C388E5B2}">
  <ds:schemaRefs>
    <ds:schemaRef ds:uri="http://schemas.microsoft.com/sharepoint/v3/contenttype/forms"/>
  </ds:schemaRefs>
</ds:datastoreItem>
</file>

<file path=customXml/itemProps4.xml><?xml version="1.0" encoding="utf-8"?>
<ds:datastoreItem xmlns:ds="http://schemas.openxmlformats.org/officeDocument/2006/customXml" ds:itemID="{39C54D52-1C50-476F-9326-CDBFF7EEE884}">
  <ds:schemaRefs>
    <ds:schemaRef ds:uri="Microsoft.SharePoint.Taxonomy.ContentTypeSync"/>
  </ds:schemaRefs>
</ds:datastoreItem>
</file>

<file path=customXml/itemProps5.xml><?xml version="1.0" encoding="utf-8"?>
<ds:datastoreItem xmlns:ds="http://schemas.openxmlformats.org/officeDocument/2006/customXml" ds:itemID="{38608FD6-24CA-416C-B7B6-930C64A61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CB1E64-66B0-4CA3-B8FE-343C9A610B5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Sutherland</dc:creator>
  <cp:keywords/>
  <dc:description/>
  <cp:lastModifiedBy>Daniel Littlewood</cp:lastModifiedBy>
  <cp:revision>4</cp:revision>
  <dcterms:created xsi:type="dcterms:W3CDTF">2025-09-25T11:37:00Z</dcterms:created>
  <dcterms:modified xsi:type="dcterms:W3CDTF">2025-09-25T11:41:00Z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0x010100F4579FC8C7439B4A81130FDACC7F49890D04230005BFC5DE2802C94B96436C6D7C8CED77</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08669d61-7061-443b-8e2f-86d72bfb5e2a</vt:lpwstr>
  </property>
  <property fmtid="{D5CDD505-2E9C-101B-9397-08002B2CF9AE}" pid="6" name="LibraryName">
    <vt:lpwstr>771;#Finance|b0682ce8-15e0-4e15-8e2e-9017dca02745</vt:lpwstr>
  </property>
</Properties>
</file>